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1900" w:right="759" w:hanging="1252"/>
        <w:spacing w:after="0" w:line="360" w:lineRule="auto"/>
        <w:tabs>
          <w:tab w:leader="none" w:pos="97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______________________ to ______________________</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001-43254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Seaport Therapeutics,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p>
      <w:pPr>
        <w:spacing w:after="0" w:line="19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99-2235719</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34" w:lineRule="exact"/>
        <w:rPr>
          <w:sz w:val="24"/>
          <w:szCs w:val="24"/>
          <w:color w:val="auto"/>
        </w:rPr>
      </w:pPr>
    </w:p>
    <w:p>
      <w:pPr>
        <w:sectPr>
          <w:pgSz w:w="11900" w:h="16838" w:orient="portrait"/>
          <w:cols w:equalWidth="0" w:num="2">
            <w:col w:w="5320" w:space="720"/>
            <w:col w:w="2979"/>
          </w:cols>
          <w:pgMar w:left="1440" w:top="1111" w:right="1440"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4"/>
          <w:szCs w:val="14"/>
          <w:b w:val="1"/>
          <w:bCs w:val="1"/>
          <w:color w:val="auto"/>
        </w:rPr>
        <w:t>101 Seaport Blvd., Floor 12</w:t>
      </w:r>
    </w:p>
    <w:p>
      <w:pPr>
        <w:spacing w:after="0" w:line="54" w:lineRule="exact"/>
        <w:rPr>
          <w:sz w:val="24"/>
          <w:szCs w:val="24"/>
          <w:color w:val="auto"/>
        </w:rPr>
      </w:pPr>
    </w:p>
    <w:p>
      <w:pPr>
        <w:ind w:left="188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Boston, Massachusetts</w:t>
      </w:r>
      <w:r>
        <w:rPr>
          <w:sz w:val="20"/>
          <w:szCs w:val="20"/>
          <w:color w:val="auto"/>
        </w:rPr>
        <w:tab/>
      </w:r>
      <w:r>
        <w:rPr>
          <w:rFonts w:ascii="Times New Roman" w:cs="Times New Roman" w:eastAsia="Times New Roman" w:hAnsi="Times New Roman"/>
          <w:sz w:val="14"/>
          <w:szCs w:val="14"/>
          <w:b w:val="1"/>
          <w:bCs w:val="1"/>
          <w:color w:val="auto"/>
        </w:rPr>
        <w:t>02210</w:t>
      </w:r>
    </w:p>
    <w:p>
      <w:pPr>
        <w:spacing w:after="0" w:line="24" w:lineRule="exact"/>
        <w:rPr>
          <w:sz w:val="24"/>
          <w:szCs w:val="24"/>
          <w:color w:val="auto"/>
        </w:r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3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807-4062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40" w:type="dxa"/>
            <w:vAlign w:val="bottom"/>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0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100" w:type="dxa"/>
            <w:vAlign w:val="bottom"/>
          </w:tcPr>
          <w:p>
            <w:pPr>
              <w:spacing w:after="0"/>
              <w:rPr>
                <w:sz w:val="11"/>
                <w:szCs w:val="11"/>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100" w:type="dxa"/>
            <w:vAlign w:val="bottom"/>
          </w:tcPr>
          <w:p>
            <w:pPr>
              <w:spacing w:after="0"/>
              <w:rPr>
                <w:sz w:val="11"/>
                <w:szCs w:val="11"/>
                <w:color w:val="auto"/>
              </w:rPr>
            </w:pPr>
          </w:p>
        </w:tc>
        <w:tc>
          <w:tcPr>
            <w:tcW w:w="3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Voting Common Stock, $0.0001 par value per share</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SPTX</w:t>
            </w:r>
          </w:p>
        </w:tc>
        <w:tc>
          <w:tcPr>
            <w:tcW w:w="100" w:type="dxa"/>
            <w:vAlign w:val="bottom"/>
          </w:tcPr>
          <w:p>
            <w:pPr>
              <w:spacing w:after="0"/>
              <w:rPr>
                <w:sz w:val="13"/>
                <w:szCs w:val="13"/>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The Nasdaq Global Select Market</w:t>
            </w:r>
          </w:p>
        </w:tc>
        <w:tc>
          <w:tcPr>
            <w:tcW w:w="0" w:type="dxa"/>
            <w:vAlign w:val="bottom"/>
          </w:tcPr>
          <w:p>
            <w:pPr>
              <w:spacing w:after="0"/>
              <w:rPr>
                <w:sz w:val="1"/>
                <w:szCs w:val="1"/>
                <w:color w:val="auto"/>
              </w:rPr>
            </w:pPr>
          </w:p>
        </w:tc>
      </w:tr>
    </w:tbl>
    <w:p>
      <w:pPr>
        <w:ind w:left="640" w:right="699"/>
        <w:spacing w:after="0" w:line="16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2" w:lineRule="exact"/>
        <w:rPr>
          <w:sz w:val="24"/>
          <w:szCs w:val="24"/>
          <w:color w:val="auto"/>
        </w:rPr>
      </w:pPr>
    </w:p>
    <w:p>
      <w:pPr>
        <w:jc w:val="both"/>
        <w:ind w:left="640" w:right="6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jc w:val="both"/>
        <w:ind w:left="640" w:right="659" w:firstLine="351"/>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1" w:lineRule="exact"/>
        <w:rPr>
          <w:sz w:val="24"/>
          <w:szCs w:val="24"/>
          <w:color w:val="auto"/>
        </w:rPr>
      </w:pPr>
    </w:p>
    <w:p>
      <w:pPr>
        <w:ind w:left="640" w:right="65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980" w:right="115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June 5, 2026, the registrant had 53,530,550 shares of 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741045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132715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146685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650"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 as of March 31, 2026 and December 31, 2025</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for the Three Months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80" w:type="dxa"/>
            <w:vAlign w:val="bottom"/>
            <w:tcBorders>
              <w:top w:val="single" w:sz="8" w:color="0000FF"/>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FF"/>
              </w:rPr>
              <w:t>March 31, 2026 and 2025</w:t>
            </w:r>
          </w:p>
        </w:tc>
        <w:tc>
          <w:tcPr>
            <w:tcW w:w="20" w:type="dxa"/>
            <w:vAlign w:val="bottom"/>
            <w:tcBorders>
              <w:top w:val="single" w:sz="8" w:color="0000FF"/>
              <w:bottom w:val="single" w:sz="8" w:color="0000EE"/>
            </w:tcBorders>
          </w:tcPr>
          <w:p>
            <w:pPr>
              <w:spacing w:after="0"/>
              <w:rPr>
                <w:sz w:val="13"/>
                <w:szCs w:val="13"/>
                <w:color w:val="auto"/>
              </w:rPr>
            </w:pPr>
          </w:p>
        </w:tc>
        <w:tc>
          <w:tcPr>
            <w:tcW w:w="440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Convertible Preferred Stock and Stockholders’ Deficit for the Three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40" w:type="dxa"/>
            <w:vAlign w:val="bottom"/>
            <w:tcBorders>
              <w:top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Months Ended March 31, 2026 and 2025</w:t>
            </w:r>
          </w:p>
        </w:tc>
        <w:tc>
          <w:tcPr>
            <w:tcW w:w="4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March 31, 2026 and 2025</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2800" w:type="dxa"/>
            <w:vAlign w:val="bottom"/>
            <w:tcBorders>
              <w:left w:val="single" w:sz="8" w:color="0000FF"/>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vMerge w:val="continue"/>
          </w:tcPr>
          <w:p>
            <w:pPr>
              <w:spacing w:after="0"/>
              <w:rPr>
                <w:sz w:val="24"/>
                <w:szCs w:val="24"/>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6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2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31"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on Form 10-Q include, but are not limited to, statements about:</w:t>
      </w:r>
    </w:p>
    <w:p>
      <w:pPr>
        <w:spacing w:after="0" w:line="86" w:lineRule="exact"/>
        <w:rPr>
          <w:sz w:val="20"/>
          <w:szCs w:val="20"/>
          <w:color w:val="auto"/>
        </w:rPr>
      </w:pPr>
    </w:p>
    <w:p>
      <w:pPr>
        <w:ind w:left="640" w:right="77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clinical trials, preclinical studies, and research and development programs;</w:t>
      </w:r>
    </w:p>
    <w:p>
      <w:pPr>
        <w:spacing w:after="0" w:line="70"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announcement of results from clinical trials;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our clinical trials;</w:t>
      </w:r>
    </w:p>
    <w:p>
      <w:pPr>
        <w:spacing w:after="0" w:line="128" w:lineRule="exact"/>
        <w:rPr>
          <w:rFonts w:ascii="Times New Roman" w:cs="Times New Roman" w:eastAsia="Times New Roman" w:hAnsi="Times New Roman"/>
          <w:sz w:val="14"/>
          <w:szCs w:val="14"/>
          <w:color w:val="auto"/>
        </w:rPr>
      </w:pPr>
    </w:p>
    <w:p>
      <w:pPr>
        <w:ind w:left="640" w:right="89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other product candidates that we may identify and successfully complete any clinical studies, including the manufacture of any such product candidates;</w:t>
      </w:r>
    </w:p>
    <w:p>
      <w:pPr>
        <w:spacing w:after="0" w:line="70" w:lineRule="exact"/>
        <w:rPr>
          <w:rFonts w:ascii="Times New Roman" w:cs="Times New Roman" w:eastAsia="Times New Roman" w:hAnsi="Times New Roman"/>
          <w:sz w:val="14"/>
          <w:szCs w:val="14"/>
          <w:color w:val="auto"/>
        </w:rPr>
      </w:pPr>
    </w:p>
    <w:p>
      <w:pPr>
        <w:ind w:left="640" w:right="81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quickly leverage programs within our initial target indications and to progress additional programs to further develop our pipeline;</w:t>
      </w:r>
    </w:p>
    <w:p>
      <w:pPr>
        <w:spacing w:after="0" w:line="59"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of certain disorders we intend to treat and the size of the market opportunity for our product candidates;</w:t>
      </w:r>
    </w:p>
    <w:p>
      <w:pPr>
        <w:spacing w:after="0" w:line="128" w:lineRule="exact"/>
        <w:rPr>
          <w:rFonts w:ascii="Times New Roman" w:cs="Times New Roman" w:eastAsia="Times New Roman" w:hAnsi="Times New Roman"/>
          <w:sz w:val="14"/>
          <w:szCs w:val="14"/>
          <w:color w:val="auto"/>
        </w:rPr>
      </w:pPr>
    </w:p>
    <w:p>
      <w:pPr>
        <w:ind w:left="640" w:right="95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patients with certain disorders we intend to treat and the number of patients that we will enroll in our clinical trials;</w:t>
      </w:r>
    </w:p>
    <w:p>
      <w:pPr>
        <w:spacing w:after="0" w:line="70"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our clinical trials demonstrating safety and efficacy of our product candidates;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investigational new drug applications, or INDs, submissions;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platform, and our programs;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competitors and our industry;</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28" w:lineRule="exact"/>
        <w:rPr>
          <w:rFonts w:ascii="Times New Roman" w:cs="Times New Roman" w:eastAsia="Times New Roman" w:hAnsi="Times New Roman"/>
          <w:sz w:val="14"/>
          <w:szCs w:val="14"/>
          <w:color w:val="auto"/>
        </w:rPr>
      </w:pPr>
    </w:p>
    <w:p>
      <w:pPr>
        <w:ind w:left="640" w:right="101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leverage the clinical, regulatory, and manufacturing advancements to accelerate our clinical trials and approval of product candidates;</w:t>
      </w:r>
    </w:p>
    <w:p>
      <w:pPr>
        <w:spacing w:after="0" w:line="59"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future regulatory standards with respect to our product candidates, if approved;</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license agreements and identify and enter into future license agreements and collaborations;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product candidates;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for the manufacture of our product candidates;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platform;</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640" w:right="659" w:hanging="2"/>
        <w:spacing w:after="0" w:line="292" w:lineRule="auto"/>
        <w:tabs>
          <w:tab w:leader="none" w:pos="72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JOBS Act or a smaller reporting company;</w:t>
      </w:r>
    </w:p>
    <w:p>
      <w:pPr>
        <w:spacing w:after="0" w:line="70"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 and</w:t>
      </w:r>
    </w:p>
    <w:p>
      <w:pPr>
        <w:spacing w:after="0" w:line="118" w:lineRule="exact"/>
        <w:rPr>
          <w:rFonts w:ascii="Times New Roman" w:cs="Times New Roman" w:eastAsia="Times New Roman" w:hAnsi="Times New Roman"/>
          <w:sz w:val="14"/>
          <w:szCs w:val="14"/>
          <w:color w:val="auto"/>
        </w:rPr>
      </w:pPr>
    </w:p>
    <w:p>
      <w:pPr>
        <w:ind w:left="640" w:right="899" w:hanging="2"/>
        <w:spacing w:after="0" w:line="292" w:lineRule="auto"/>
        <w:tabs>
          <w:tab w:leader="none" w:pos="72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runway, our financial performance, estimates of our expenses, capital requirements, and needs for additional financing.</w:t>
      </w:r>
    </w:p>
    <w:p>
      <w:pPr>
        <w:spacing w:after="0" w:line="124" w:lineRule="exact"/>
        <w:rPr>
          <w:sz w:val="20"/>
          <w:szCs w:val="20"/>
          <w:color w:val="auto"/>
        </w:rPr>
      </w:pPr>
    </w:p>
    <w:p>
      <w:pPr>
        <w:ind w:left="640" w:right="739"/>
        <w:spacing w:after="0" w:line="258"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w:t>
      </w:r>
      <w:r>
        <w:rPr>
          <w:rFonts w:ascii="Times New Roman" w:cs="Times New Roman" w:eastAsia="Times New Roman" w:hAnsi="Times New Roman"/>
          <w:sz w:val="14"/>
          <w:szCs w:val="14"/>
          <w:i w:val="1"/>
          <w:iCs w:val="1"/>
          <w:color w:val="auto"/>
        </w:rPr>
        <w:t>Risk Factor Summary,"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Quarterly Report on Form 10-Q. Because forward-looking statements are inherently subject to risks and uncertainties, some of which cannot be predicted or quantified, you should not rely on these forward 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on Form 10-Q, whether as a result of any new information, future events, or otherwise. Our forward-looking statements do not reflect the potential impact of any future acquisitions, mergers, dispositions, collaborations, joint ventures, or investments that we may make or enter into.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97"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42" w:lineRule="exact"/>
        <w:rPr>
          <w:sz w:val="20"/>
          <w:szCs w:val="20"/>
          <w:color w:val="auto"/>
        </w:rPr>
      </w:pPr>
    </w:p>
    <w:p>
      <w:pPr>
        <w:ind w:left="640" w:right="659"/>
        <w:spacing w:after="0" w:line="180" w:lineRule="exact"/>
        <w:rPr>
          <w:sz w:val="20"/>
          <w:szCs w:val="20"/>
          <w:color w:val="auto"/>
        </w:rPr>
      </w:pPr>
      <w:r>
        <w:rPr>
          <w:rFonts w:ascii="Times New Roman" w:cs="Times New Roman" w:eastAsia="Times New Roman" w:hAnsi="Times New Roman"/>
          <w:sz w:val="14"/>
          <w:szCs w:val="14"/>
          <w:color w:val="auto"/>
        </w:rPr>
        <w:t>This Quarterly Report on Form 10-Q may include industry and market data, which we may obtain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such studies and publications are reliable, we have not independently verified market and industry data from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sources.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Website and Social Media Disclosure</w:t>
      </w:r>
    </w:p>
    <w:p>
      <w:pPr>
        <w:spacing w:after="0" w:line="185"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From time to time, we may use our website (www.seaporttx.com), investor and media relations website (investors.seaporttx.com), LinkedIn page (http://www.linkedin.com/company/seaport-therapeutics), Bluesky (https://bsky.app/profile/seaporttx.bsky.social), and X feed (https://x.com/SeaportTx) as channels for the distribution of information. The information we post through these channels may be deemed material. Accordingly, investors should monitor these channels, in addition to following our press releases and subscribing to our email alerts, Securities and Exchange Commission filings and public conference calls and webcasts. The contents of our website and social media channels are not, however, a part of this report.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85"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Investment in our securities involves risk. You should carefully consider the following summary of what we believe to be the principal risks facing our business, in addition to the risks described more fully in Part II. Item 1A, “Risk Factors” in this Quarterly Report on Form 10-Q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spacing w:after="0" w:line="110" w:lineRule="exact"/>
        <w:rPr>
          <w:sz w:val="20"/>
          <w:szCs w:val="20"/>
          <w:color w:val="auto"/>
        </w:rPr>
      </w:pPr>
    </w:p>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2" w:right="1440" w:bottom="1440" w:gutter="0" w:footer="0" w:header="0"/>
        </w:sectPr>
      </w:pPr>
    </w:p>
    <w:bookmarkStart w:id="4" w:name="page5"/>
    <w:bookmarkEnd w:id="4"/>
    <w:p>
      <w:pPr>
        <w:ind w:left="1340" w:right="109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therapeutics company, have no history of generating commercial revenue, have a history of operating losses and may never achieve or maintain profitability.</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management has obtained and continues to pursue additional financing to support future operations, however such funding may not be available on acceptable terms or at all.</w:t>
      </w:r>
    </w:p>
    <w:p>
      <w:pPr>
        <w:spacing w:after="0" w:line="37"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spacing w:after="0" w:line="50"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pre-clinical studies or early clinical trials may not be indicative of results obtained in later trials.</w:t>
      </w:r>
    </w:p>
    <w:p>
      <w:pPr>
        <w:spacing w:after="0" w:line="9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concentrated our research and development efforts on the treatment of disorders of the brain and central nervous system, a field that faces certain challenges in drug development.</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85"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identify additional drug product candidates. We must prioritize the development of certain drug product candidates, and these decisions may prove to be wrong and may adversely affect our business.</w:t>
      </w:r>
    </w:p>
    <w:p>
      <w:pPr>
        <w:spacing w:after="0" w:line="219"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organization, and as a result, we may encounter difficulties in managing our growth, and our future growth depends on attracting, hiring and retaining our key personnel and recruiting additional qualified personnel.</w:t>
      </w:r>
    </w:p>
    <w:p>
      <w:pPr>
        <w:spacing w:after="0" w:line="37" w:lineRule="exact"/>
        <w:rPr>
          <w:rFonts w:ascii="Times New Roman" w:cs="Times New Roman" w:eastAsia="Times New Roman" w:hAnsi="Times New Roman"/>
          <w:sz w:val="14"/>
          <w:szCs w:val="14"/>
          <w:color w:val="auto"/>
        </w:rPr>
      </w:pPr>
    </w:p>
    <w:p>
      <w:pPr>
        <w:ind w:left="1340" w:right="119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assist in conducting our clinical trials and preclinical studies, manufacture our product candidates and seek to establish collaborations on product development and commercialization plans.</w:t>
      </w:r>
    </w:p>
    <w:p>
      <w:pPr>
        <w:spacing w:after="0" w:line="37"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success depends on our ability to obtain, maintain, enforce, and otherwise protect our intellectual property and proprietary technology.</w:t>
      </w:r>
    </w:p>
    <w:p>
      <w:pPr>
        <w:spacing w:after="0" w:line="37" w:lineRule="exact"/>
        <w:rPr>
          <w:rFonts w:ascii="Times New Roman" w:cs="Times New Roman" w:eastAsia="Times New Roman" w:hAnsi="Times New Roman"/>
          <w:sz w:val="14"/>
          <w:szCs w:val="14"/>
          <w:color w:val="auto"/>
        </w:rPr>
      </w:pPr>
    </w:p>
    <w:p>
      <w:pPr>
        <w:ind w:left="1340" w:right="79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a “smaller reporting company” and have elected to take advantage of the reduced reporting requirements applicable to emerging growth companies and smaller reporting companies, and we will continue to incur significant costs associated with operating as a public company.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and per share amounts) </w:t>
      </w:r>
      <w:r>
        <w:rPr>
          <w:rFonts w:ascii="Times New Roman" w:cs="Times New Roman" w:eastAsia="Times New Roman" w:hAnsi="Times New Roman"/>
          <w:sz w:val="14"/>
          <w:szCs w:val="14"/>
          <w:b w:val="1"/>
          <w:bCs w:val="1"/>
          <w:i w:val="1"/>
          <w:iCs w:val="1"/>
          <w:color w:val="auto"/>
        </w:rPr>
        <w:t>(Unaudited)</w:t>
      </w:r>
    </w:p>
    <w:p>
      <w:pPr>
        <w:spacing w:after="0" w:line="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46,042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223,230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 operating leases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30,037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227,673</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249,009</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Related party payable</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Series A-1 convertible preferred stock, par value $0.0001; 40,000,000 shares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authorized, issued, and outstanding; liquidation preference of $4,000 as</w:t>
            </w:r>
          </w:p>
        </w:tc>
        <w:tc>
          <w:tcPr>
            <w:tcW w:w="1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of March 31, 2026 and December 31, 2025</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Series A-2 convertible preferred stock, par value $0.0001; 26,342,102 shares</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authorized, issued, and outstanding; liquidation preference of $100,100</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80" w:type="dxa"/>
            <w:vAlign w:val="bottom"/>
            <w:shd w:val="clear" w:color="auto" w:fill="CFF0FC"/>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as of March 31, 2026 and December 31, 2025</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Series B convertible preferred stock, par value $0.0001; 47,578,938 shares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authorized; 47,578,934 shares issued and outstanding; liquidation preference</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225,571</w:t>
            </w:r>
          </w:p>
        </w:tc>
        <w:tc>
          <w:tcPr>
            <w:tcW w:w="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of $226,000 as of March 31, 2026 and December 31, 2025</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Common stock, par value $0.0001; 159,070,000 shares authorized;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2,595,342 and 2,594,960 shares issued and outstanding as of March 31, 2026 and</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(139,517)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(114,109)</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(115,621)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(92,545)</w:t>
            </w: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deficit</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227,673</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249,009</w:t>
            </w:r>
          </w:p>
        </w:tc>
        <w:tc>
          <w:tcPr>
            <w:tcW w:w="8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-3907155</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-3907155</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-3238500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-3225165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-3238500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-3225165</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-2563495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-2563495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-2338705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-2338705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and per share amounts) </w:t>
      </w:r>
      <w:r>
        <w:rPr>
          <w:rFonts w:ascii="Times New Roman" w:cs="Times New Roman" w:eastAsia="Times New Roman" w:hAnsi="Times New Roman"/>
          <w:sz w:val="14"/>
          <w:szCs w:val="14"/>
          <w:b w:val="1"/>
          <w:bCs w:val="1"/>
          <w:i w:val="1"/>
          <w:iCs w:val="1"/>
          <w:color w:val="auto"/>
        </w:rPr>
        <w:t>(Unaudited)</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stock-based compensation expense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$0.9 million and $0.5 million for three months ended March 31, 2026 and 2025,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w:t>
            </w:r>
          </w:p>
        </w:tc>
        <w:tc>
          <w:tcPr>
            <w:tcW w:w="34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General and administrative (including stock-based compensation expense of</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$1.7 million and $1.1 million for the three months ended March 31, 2026 and 2025,</w:t>
            </w: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27,543</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(27,543)</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expense, net</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34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(24,889)</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(13,094)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(25,408)</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gain on available-for-sale securities</w:t>
            </w:r>
          </w:p>
        </w:tc>
        <w:tc>
          <w:tcPr>
            <w:tcW w:w="1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(252)</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(25,645)</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(12,933)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(10.34)</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ind w:left="260"/>
              <w:spacing w:after="0" w:line="144" w:lineRule="exact"/>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2,456,766</w:t>
            </w:r>
          </w:p>
        </w:tc>
        <w:tc>
          <w:tcPr>
            <w:tcW w:w="34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2,323,724</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-1976755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-1976755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-1308735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-1308735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-851535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-838200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-851535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-838200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-387985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-374650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-387985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-374650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-149225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-135890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and Stockholders’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amounts) </w:t>
      </w:r>
      <w:r>
        <w:rPr>
          <w:rFonts w:ascii="Times New Roman" w:cs="Times New Roman" w:eastAsia="Times New Roman" w:hAnsi="Times New Roman"/>
          <w:sz w:val="14"/>
          <w:szCs w:val="14"/>
          <w:b w:val="1"/>
          <w:bCs w:val="1"/>
          <w:i w:val="1"/>
          <w:i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11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Series A-1 Convertible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Series A-2 Convertible</w:t>
            </w:r>
          </w:p>
        </w:tc>
        <w:tc>
          <w:tcPr>
            <w:tcW w:w="200" w:type="dxa"/>
            <w:vAlign w:val="bottom"/>
          </w:tcPr>
          <w:p>
            <w:pPr>
              <w:spacing w:after="0"/>
              <w:rPr>
                <w:sz w:val="10"/>
                <w:szCs w:val="10"/>
                <w:color w:val="auto"/>
              </w:rPr>
            </w:pPr>
          </w:p>
        </w:tc>
        <w:tc>
          <w:tcPr>
            <w:tcW w:w="1240" w:type="dxa"/>
            <w:vAlign w:val="bottom"/>
            <w:gridSpan w:val="4"/>
            <w:vMerge w:val="restart"/>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Series B Convertible</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Accumulate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200" w:type="dxa"/>
            <w:vAlign w:val="bottom"/>
          </w:tcPr>
          <w:p>
            <w:pPr>
              <w:spacing w:after="0"/>
              <w:rPr>
                <w:sz w:val="10"/>
                <w:szCs w:val="10"/>
                <w:color w:val="auto"/>
              </w:rPr>
            </w:pPr>
          </w:p>
        </w:tc>
        <w:tc>
          <w:tcPr>
            <w:tcW w:w="12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Pr>
          <w:p>
            <w:pPr>
              <w:spacing w:after="0"/>
              <w:rPr>
                <w:sz w:val="10"/>
                <w:szCs w:val="10"/>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35"/>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83"/>
        </w:trPr>
        <w:tc>
          <w:tcPr>
            <w:tcW w:w="1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3"/>
          </w:tcPr>
          <w:p>
            <w:pPr>
              <w:jc w:val="center"/>
              <w:ind w:right="115"/>
              <w:spacing w:after="0" w:line="83" w:lineRule="exact"/>
              <w:rPr>
                <w:sz w:val="20"/>
                <w:szCs w:val="20"/>
                <w:color w:val="auto"/>
              </w:rPr>
            </w:pPr>
            <w:r>
              <w:rPr>
                <w:rFonts w:ascii="Times New Roman" w:cs="Times New Roman" w:eastAsia="Times New Roman" w:hAnsi="Times New Roman"/>
                <w:sz w:val="9"/>
                <w:szCs w:val="9"/>
                <w:b w:val="1"/>
                <w:bCs w:val="1"/>
                <w:color w:val="auto"/>
              </w:rPr>
              <w:t>Accumulate</w:t>
            </w:r>
          </w:p>
        </w:tc>
        <w:tc>
          <w:tcPr>
            <w:tcW w:w="80" w:type="dxa"/>
            <w:vAlign w:val="bottom"/>
          </w:tcPr>
          <w:p>
            <w:pPr>
              <w:spacing w:after="0"/>
              <w:rPr>
                <w:sz w:val="7"/>
                <w:szCs w:val="7"/>
                <w:color w:val="auto"/>
              </w:rPr>
            </w:pPr>
          </w:p>
        </w:tc>
        <w:tc>
          <w:tcPr>
            <w:tcW w:w="700" w:type="dxa"/>
            <w:vAlign w:val="bottom"/>
            <w:gridSpan w:val="3"/>
          </w:tcPr>
          <w:p>
            <w:pPr>
              <w:jc w:val="center"/>
              <w:ind w:right="120"/>
              <w:spacing w:after="0" w:line="83" w:lineRule="exact"/>
              <w:rPr>
                <w:sz w:val="20"/>
                <w:szCs w:val="20"/>
                <w:color w:val="auto"/>
              </w:rPr>
            </w:pPr>
            <w:r>
              <w:rPr>
                <w:rFonts w:ascii="Times New Roman" w:cs="Times New Roman" w:eastAsia="Times New Roman" w:hAnsi="Times New Roman"/>
                <w:sz w:val="9"/>
                <w:szCs w:val="9"/>
                <w:b w:val="1"/>
                <w:bCs w:val="1"/>
                <w:color w:val="auto"/>
              </w:rPr>
              <w:t>Comprehens</w:t>
            </w:r>
          </w:p>
        </w:tc>
        <w:tc>
          <w:tcPr>
            <w:tcW w:w="80" w:type="dxa"/>
            <w:vAlign w:val="bottom"/>
          </w:tcPr>
          <w:p>
            <w:pPr>
              <w:spacing w:after="0"/>
              <w:rPr>
                <w:sz w:val="7"/>
                <w:szCs w:val="7"/>
                <w:color w:val="auto"/>
              </w:rPr>
            </w:pPr>
          </w:p>
        </w:tc>
        <w:tc>
          <w:tcPr>
            <w:tcW w:w="720" w:type="dxa"/>
            <w:vAlign w:val="bottom"/>
            <w:gridSpan w:val="3"/>
          </w:tcPr>
          <w:p>
            <w:pPr>
              <w:ind w:left="20"/>
              <w:spacing w:after="0" w:line="83"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70"/>
              <w:spacing w:after="0" w:line="10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95"/>
              <w:spacing w:after="0" w:line="108" w:lineRule="exact"/>
              <w:rPr>
                <w:sz w:val="20"/>
                <w:szCs w:val="20"/>
                <w:color w:val="auto"/>
              </w:rPr>
            </w:pPr>
            <w:r>
              <w:rPr>
                <w:rFonts w:ascii="Times New Roman" w:cs="Times New Roman" w:eastAsia="Times New Roman" w:hAnsi="Times New Roman"/>
                <w:sz w:val="10"/>
                <w:szCs w:val="10"/>
                <w:b w:val="1"/>
                <w:bCs w:val="1"/>
                <w:color w:val="auto"/>
              </w:rPr>
              <w:t>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ive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3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0"/>
                <w:szCs w:val="1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200" w:type="dxa"/>
            <w:vAlign w:val="bottom"/>
          </w:tcPr>
          <w:p>
            <w:pPr>
              <w:spacing w:after="0"/>
              <w:rPr>
                <w:sz w:val="10"/>
                <w:szCs w:val="10"/>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215"/>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15"/>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83"/>
        </w:trPr>
        <w:tc>
          <w:tcPr>
            <w:tcW w:w="1340" w:type="dxa"/>
            <w:vAlign w:val="bottom"/>
            <w:shd w:val="clear" w:color="auto" w:fill="CFF0FC"/>
          </w:tcPr>
          <w:p>
            <w:pPr>
              <w:spacing w:after="0" w:line="83" w:lineRule="exact"/>
              <w:rPr>
                <w:sz w:val="20"/>
                <w:szCs w:val="20"/>
                <w:color w:val="auto"/>
              </w:rPr>
            </w:pPr>
            <w:r>
              <w:rPr>
                <w:rFonts w:ascii="Times New Roman" w:cs="Times New Roman" w:eastAsia="Times New Roman" w:hAnsi="Times New Roman"/>
                <w:sz w:val="9"/>
                <w:szCs w:val="9"/>
                <w:b w:val="1"/>
                <w:bCs w:val="1"/>
                <w:color w:val="auto"/>
              </w:rPr>
              <w:t>Balance as of December 31,</w:t>
            </w:r>
          </w:p>
        </w:tc>
        <w:tc>
          <w:tcPr>
            <w:tcW w:w="580" w:type="dxa"/>
            <w:vAlign w:val="bottom"/>
            <w:tcBorders>
              <w:top w:val="single" w:sz="8" w:color="auto"/>
            </w:tcBorders>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spacing w:after="0"/>
              <w:rPr>
                <w:sz w:val="7"/>
                <w:szCs w:val="7"/>
                <w:color w:val="auto"/>
              </w:rPr>
            </w:pPr>
          </w:p>
        </w:tc>
        <w:tc>
          <w:tcPr>
            <w:tcW w:w="22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50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40,000,000</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26,342,102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99,757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47,578,934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225,571</w:t>
            </w:r>
          </w:p>
        </w:tc>
        <w:tc>
          <w:tcPr>
            <w:tcW w:w="220" w:type="dxa"/>
            <w:vAlign w:val="bottom"/>
            <w:tcBorders>
              <w:right w:val="single" w:sz="8" w:color="auto"/>
            </w:tcBorders>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2,595,342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21,262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0"/>
                <w:szCs w:val="10"/>
                <w:color w:val="auto"/>
              </w:rPr>
              <w:t>(114,109)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0"/>
                <w:szCs w:val="10"/>
                <w:color w:val="auto"/>
              </w:rPr>
              <w:t>(92,545)</w:t>
            </w:r>
          </w:p>
        </w:tc>
        <w:tc>
          <w:tcPr>
            <w:tcW w:w="0" w:type="dxa"/>
            <w:vAlign w:val="bottom"/>
          </w:tcPr>
          <w:p>
            <w:pPr>
              <w:spacing w:after="0"/>
              <w:rPr>
                <w:sz w:val="1"/>
                <w:szCs w:val="1"/>
                <w:color w:val="auto"/>
              </w:rPr>
            </w:pPr>
          </w:p>
        </w:tc>
      </w:tr>
      <w:tr>
        <w:trPr>
          <w:trHeight w:val="94"/>
        </w:trPr>
        <w:tc>
          <w:tcPr>
            <w:tcW w:w="13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Stock-based compensation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2,569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expense</w:t>
            </w: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2,569</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3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340" w:type="dxa"/>
            <w:vAlign w:val="bottom"/>
            <w:shd w:val="clear" w:color="auto" w:fill="CFF0FC"/>
          </w:tcPr>
          <w:p>
            <w:pPr>
              <w:spacing w:after="0" w:line="94" w:lineRule="exact"/>
              <w:rPr>
                <w:sz w:val="20"/>
                <w:szCs w:val="20"/>
                <w:color w:val="auto"/>
              </w:rPr>
            </w:pPr>
            <w:r>
              <w:rPr>
                <w:rFonts w:ascii="Times New Roman" w:cs="Times New Roman" w:eastAsia="Times New Roman" w:hAnsi="Times New Roman"/>
                <w:sz w:val="10"/>
                <w:szCs w:val="10"/>
                <w:color w:val="auto"/>
              </w:rPr>
              <w:t>Unrealized loss on</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(252)</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95"/>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01"/>
        </w:trPr>
        <w:tc>
          <w:tcPr>
            <w:tcW w:w="1340" w:type="dxa"/>
            <w:vAlign w:val="bottom"/>
            <w:tcBorders>
              <w:bottom w:val="single" w:sz="8" w:color="CFF0FC"/>
            </w:tcBorders>
            <w:shd w:val="clear" w:color="auto" w:fill="CFF0FC"/>
          </w:tcPr>
          <w:p>
            <w:pPr>
              <w:spacing w:after="0" w:line="101" w:lineRule="exact"/>
              <w:rPr>
                <w:sz w:val="20"/>
                <w:szCs w:val="20"/>
                <w:color w:val="auto"/>
              </w:rPr>
            </w:pPr>
            <w:r>
              <w:rPr>
                <w:rFonts w:ascii="Times New Roman" w:cs="Times New Roman" w:eastAsia="Times New Roman" w:hAnsi="Times New Roman"/>
                <w:sz w:val="10"/>
                <w:szCs w:val="10"/>
                <w:color w:val="auto"/>
              </w:rPr>
              <w:t>investments</w:t>
            </w: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3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right w:val="single" w:sz="8" w:color="auto"/>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vMerge w:val="continue"/>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20" w:type="dxa"/>
            <w:vAlign w:val="bottom"/>
            <w:tcBorders>
              <w:bottom w:val="single" w:sz="8" w:color="CFF0FC"/>
            </w:tcBorders>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Cumulative translation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adjustment</w:t>
            </w: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3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75"/>
              <w:spacing w:after="0" w:line="108" w:lineRule="exact"/>
              <w:rPr>
                <w:sz w:val="20"/>
                <w:szCs w:val="20"/>
                <w:color w:val="auto"/>
              </w:rPr>
            </w:pPr>
            <w:r>
              <w:rPr>
                <w:rFonts w:ascii="Times New Roman" w:cs="Times New Roman" w:eastAsia="Times New Roman" w:hAnsi="Times New Roman"/>
                <w:sz w:val="10"/>
                <w:szCs w:val="10"/>
                <w:color w:val="auto"/>
              </w:rPr>
              <w:t>(25,408)</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gridSpan w:val="2"/>
            <w:shd w:val="clear" w:color="auto" w:fill="CFF0FC"/>
          </w:tcPr>
          <w:p>
            <w:pPr>
              <w:jc w:val="right"/>
              <w:ind w:right="95"/>
              <w:spacing w:after="0" w:line="108" w:lineRule="exact"/>
              <w:rPr>
                <w:sz w:val="20"/>
                <w:szCs w:val="20"/>
                <w:color w:val="auto"/>
              </w:rPr>
            </w:pPr>
            <w:r>
              <w:rPr>
                <w:rFonts w:ascii="Times New Roman" w:cs="Times New Roman" w:eastAsia="Times New Roman" w:hAnsi="Times New Roman"/>
                <w:sz w:val="10"/>
                <w:szCs w:val="10"/>
                <w:color w:val="auto"/>
              </w:rPr>
              <w:t>(25,408)</w:t>
            </w:r>
          </w:p>
        </w:tc>
        <w:tc>
          <w:tcPr>
            <w:tcW w:w="0" w:type="dxa"/>
            <w:vAlign w:val="bottom"/>
          </w:tcPr>
          <w:p>
            <w:pPr>
              <w:spacing w:after="0"/>
              <w:rPr>
                <w:sz w:val="1"/>
                <w:szCs w:val="1"/>
                <w:color w:val="auto"/>
              </w:rPr>
            </w:pPr>
          </w:p>
        </w:tc>
      </w:tr>
      <w:tr>
        <w:trPr>
          <w:trHeight w:val="83"/>
        </w:trPr>
        <w:tc>
          <w:tcPr>
            <w:tcW w:w="1340" w:type="dxa"/>
            <w:vAlign w:val="bottom"/>
            <w:tcBorders>
              <w:top w:val="single" w:sz="8" w:color="CFF0FC"/>
            </w:tcBorders>
          </w:tcPr>
          <w:p>
            <w:pPr>
              <w:spacing w:after="0" w:line="83" w:lineRule="exact"/>
              <w:rPr>
                <w:sz w:val="20"/>
                <w:szCs w:val="20"/>
                <w:color w:val="auto"/>
              </w:rPr>
            </w:pPr>
            <w:r>
              <w:rPr>
                <w:rFonts w:ascii="Times New Roman" w:cs="Times New Roman" w:eastAsia="Times New Roman" w:hAnsi="Times New Roman"/>
                <w:sz w:val="9"/>
                <w:szCs w:val="9"/>
                <w:b w:val="1"/>
                <w:bCs w:val="1"/>
                <w:color w:val="auto"/>
              </w:rPr>
              <w:t>Balance as of March 31,</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40,000,000</w:t>
            </w:r>
          </w:p>
        </w:tc>
        <w:tc>
          <w:tcPr>
            <w:tcW w:w="180" w:type="dxa"/>
            <w:vAlign w:val="bottom"/>
            <w:tcBorders>
              <w:top w:val="single" w:sz="8" w:color="CFF0FC"/>
            </w:tcBorders>
          </w:tcPr>
          <w:p>
            <w:pPr>
              <w:spacing w:after="0"/>
              <w:rPr>
                <w:sz w:val="7"/>
                <w:szCs w:val="7"/>
                <w:color w:val="auto"/>
              </w:rPr>
            </w:pPr>
          </w:p>
        </w:tc>
        <w:tc>
          <w:tcPr>
            <w:tcW w:w="3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26,342,102</w:t>
            </w: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99,757</w:t>
            </w: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47,578,934</w:t>
            </w:r>
          </w:p>
        </w:tc>
        <w:tc>
          <w:tcPr>
            <w:tcW w:w="18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225,571</w:t>
            </w:r>
          </w:p>
        </w:tc>
        <w:tc>
          <w:tcPr>
            <w:tcW w:w="220" w:type="dxa"/>
            <w:vAlign w:val="bottom"/>
            <w:tcBorders>
              <w:top w:val="single" w:sz="8" w:color="CFF0FC"/>
              <w:right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2,595,342</w:t>
            </w: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23,831</w:t>
            </w:r>
          </w:p>
        </w:tc>
        <w:tc>
          <w:tcPr>
            <w:tcW w:w="1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(139,517</w:t>
            </w:r>
          </w:p>
        </w:tc>
        <w:tc>
          <w:tcPr>
            <w:tcW w:w="100" w:type="dxa"/>
            <w:vAlign w:val="bottom"/>
            <w:tcBorders>
              <w:top w:val="single" w:sz="8" w:color="CFF0FC"/>
            </w:tcBorders>
            <w:vMerge w:val="restart"/>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(115,621</w:t>
            </w:r>
          </w:p>
        </w:tc>
        <w:tc>
          <w:tcPr>
            <w:tcW w:w="120" w:type="dxa"/>
            <w:vAlign w:val="bottom"/>
            <w:tcBorders>
              <w:top w:val="single" w:sz="8" w:color="CFF0FC"/>
            </w:tcBorders>
            <w:vMerge w:val="restart"/>
          </w:tcPr>
          <w:p>
            <w:pPr>
              <w:jc w:val="right"/>
              <w:ind w:right="9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96"/>
        </w:trPr>
        <w:tc>
          <w:tcPr>
            <w:tcW w:w="134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2026</w:t>
            </w:r>
          </w:p>
        </w:tc>
        <w:tc>
          <w:tcPr>
            <w:tcW w:w="5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3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220" w:type="dxa"/>
            <w:vAlign w:val="bottom"/>
            <w:tcBorders>
              <w:right w:val="single" w:sz="8" w:color="auto"/>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340" w:type="dxa"/>
            <w:vAlign w:val="bottom"/>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Balance as of December 31,</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40,000,000</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26,342,102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47,578,934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225,571</w:t>
            </w:r>
          </w:p>
        </w:tc>
        <w:tc>
          <w:tcPr>
            <w:tcW w:w="220" w:type="dxa"/>
            <w:vAlign w:val="bottom"/>
            <w:tcBorders>
              <w:right w:val="single" w:sz="8" w:color="auto"/>
            </w:tcBorders>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2,594,960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gridSpan w:val="2"/>
          </w:tcPr>
          <w:p>
            <w:pPr>
              <w:jc w:val="right"/>
              <w:ind w:right="7"/>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0"/>
                <w:szCs w:val="10"/>
                <w:color w:val="auto"/>
              </w:rPr>
              <w:t>(39,228)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95"/>
              <w:spacing w:after="0"/>
              <w:rPr>
                <w:sz w:val="20"/>
                <w:szCs w:val="20"/>
                <w:color w:val="auto"/>
              </w:rPr>
            </w:pPr>
            <w:r>
              <w:rPr>
                <w:rFonts w:ascii="Times New Roman" w:cs="Times New Roman" w:eastAsia="Times New Roman" w:hAnsi="Times New Roman"/>
                <w:sz w:val="10"/>
                <w:szCs w:val="10"/>
                <w:color w:val="auto"/>
              </w:rPr>
              <w:t>(24,849)</w:t>
            </w:r>
          </w:p>
        </w:tc>
        <w:tc>
          <w:tcPr>
            <w:tcW w:w="0" w:type="dxa"/>
            <w:vAlign w:val="bottom"/>
          </w:tcPr>
          <w:p>
            <w:pPr>
              <w:spacing w:after="0"/>
              <w:rPr>
                <w:sz w:val="1"/>
                <w:szCs w:val="1"/>
                <w:color w:val="auto"/>
              </w:rPr>
            </w:pPr>
          </w:p>
        </w:tc>
      </w:tr>
      <w:tr>
        <w:trPr>
          <w:trHeight w:val="94"/>
        </w:trPr>
        <w:tc>
          <w:tcPr>
            <w:tcW w:w="1340" w:type="dxa"/>
            <w:vAlign w:val="bottom"/>
            <w:shd w:val="clear" w:color="auto" w:fill="CFF0FC"/>
          </w:tcPr>
          <w:p>
            <w:pPr>
              <w:spacing w:after="0" w:line="94" w:lineRule="exact"/>
              <w:rPr>
                <w:sz w:val="20"/>
                <w:szCs w:val="20"/>
                <w:color w:val="auto"/>
              </w:rPr>
            </w:pPr>
            <w:r>
              <w:rPr>
                <w:rFonts w:ascii="Times New Roman" w:cs="Times New Roman" w:eastAsia="Times New Roman" w:hAnsi="Times New Roman"/>
                <w:sz w:val="10"/>
                <w:szCs w:val="10"/>
                <w:color w:val="auto"/>
              </w:rPr>
              <w:t>Stock-based compensation</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1,619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340" w:type="dxa"/>
            <w:vAlign w:val="bottom"/>
            <w:tcBorders>
              <w:bottom w:val="single" w:sz="8" w:color="CFF0FC"/>
            </w:tcBorders>
            <w:shd w:val="clear" w:color="auto" w:fill="CFF0FC"/>
          </w:tcPr>
          <w:p>
            <w:pPr>
              <w:spacing w:after="0" w:line="101" w:lineRule="exact"/>
              <w:rPr>
                <w:sz w:val="20"/>
                <w:szCs w:val="20"/>
                <w:color w:val="auto"/>
              </w:rPr>
            </w:pPr>
            <w:r>
              <w:rPr>
                <w:rFonts w:ascii="Times New Roman" w:cs="Times New Roman" w:eastAsia="Times New Roman" w:hAnsi="Times New Roman"/>
                <w:sz w:val="10"/>
                <w:szCs w:val="10"/>
                <w:color w:val="auto"/>
              </w:rPr>
              <w:t>expense</w:t>
            </w: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3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right w:val="single" w:sz="8" w:color="auto"/>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shd w:val="clear" w:color="auto" w:fill="CFF0FC"/>
          </w:tcPr>
          <w:p>
            <w:pPr>
              <w:jc w:val="right"/>
              <w:spacing w:after="0" w:line="101" w:lineRule="exact"/>
              <w:rPr>
                <w:sz w:val="20"/>
                <w:szCs w:val="20"/>
                <w:color w:val="auto"/>
              </w:rPr>
            </w:pPr>
            <w:r>
              <w:rPr>
                <w:rFonts w:ascii="Times New Roman" w:cs="Times New Roman" w:eastAsia="Times New Roman" w:hAnsi="Times New Roman"/>
                <w:sz w:val="10"/>
                <w:szCs w:val="10"/>
                <w:color w:val="auto"/>
              </w:rPr>
              <w:t>1,619</w:t>
            </w:r>
          </w:p>
        </w:tc>
        <w:tc>
          <w:tcPr>
            <w:tcW w:w="1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5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Unrealized gain on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investments</w:t>
            </w: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3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75"/>
              <w:spacing w:after="0" w:line="108" w:lineRule="exact"/>
              <w:rPr>
                <w:sz w:val="20"/>
                <w:szCs w:val="20"/>
                <w:color w:val="auto"/>
              </w:rPr>
            </w:pPr>
            <w:r>
              <w:rPr>
                <w:rFonts w:ascii="Times New Roman" w:cs="Times New Roman" w:eastAsia="Times New Roman" w:hAnsi="Times New Roman"/>
                <w:sz w:val="10"/>
                <w:szCs w:val="10"/>
                <w:color w:val="auto"/>
              </w:rPr>
              <w:t>(13,125)</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gridSpan w:val="2"/>
            <w:shd w:val="clear" w:color="auto" w:fill="CFF0FC"/>
          </w:tcPr>
          <w:p>
            <w:pPr>
              <w:jc w:val="right"/>
              <w:ind w:right="95"/>
              <w:spacing w:after="0" w:line="108" w:lineRule="exact"/>
              <w:rPr>
                <w:sz w:val="20"/>
                <w:szCs w:val="20"/>
                <w:color w:val="auto"/>
              </w:rPr>
            </w:pPr>
            <w:r>
              <w:rPr>
                <w:rFonts w:ascii="Times New Roman" w:cs="Times New Roman" w:eastAsia="Times New Roman" w:hAnsi="Times New Roman"/>
                <w:sz w:val="10"/>
                <w:szCs w:val="10"/>
                <w:color w:val="auto"/>
              </w:rPr>
              <w:t>(13,125)</w:t>
            </w:r>
          </w:p>
        </w:tc>
        <w:tc>
          <w:tcPr>
            <w:tcW w:w="0" w:type="dxa"/>
            <w:vAlign w:val="bottom"/>
          </w:tcPr>
          <w:p>
            <w:pPr>
              <w:spacing w:after="0"/>
              <w:rPr>
                <w:sz w:val="1"/>
                <w:szCs w:val="1"/>
                <w:color w:val="auto"/>
              </w:rPr>
            </w:pPr>
          </w:p>
        </w:tc>
      </w:tr>
      <w:tr>
        <w:trPr>
          <w:trHeight w:val="83"/>
        </w:trPr>
        <w:tc>
          <w:tcPr>
            <w:tcW w:w="1340" w:type="dxa"/>
            <w:vAlign w:val="bottom"/>
            <w:tcBorders>
              <w:top w:val="single" w:sz="8" w:color="CFF0FC"/>
            </w:tcBorders>
          </w:tcPr>
          <w:p>
            <w:pPr>
              <w:spacing w:after="0" w:line="83" w:lineRule="exact"/>
              <w:rPr>
                <w:sz w:val="20"/>
                <w:szCs w:val="20"/>
                <w:color w:val="auto"/>
              </w:rPr>
            </w:pPr>
            <w:r>
              <w:rPr>
                <w:rFonts w:ascii="Times New Roman" w:cs="Times New Roman" w:eastAsia="Times New Roman" w:hAnsi="Times New Roman"/>
                <w:sz w:val="9"/>
                <w:szCs w:val="9"/>
                <w:b w:val="1"/>
                <w:bCs w:val="1"/>
                <w:color w:val="auto"/>
              </w:rPr>
              <w:t>Balance as of March 31,</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40,000,000</w:t>
            </w:r>
          </w:p>
        </w:tc>
        <w:tc>
          <w:tcPr>
            <w:tcW w:w="180" w:type="dxa"/>
            <w:vAlign w:val="bottom"/>
            <w:tcBorders>
              <w:top w:val="single" w:sz="8" w:color="CFF0FC"/>
            </w:tcBorders>
          </w:tcPr>
          <w:p>
            <w:pPr>
              <w:spacing w:after="0"/>
              <w:rPr>
                <w:sz w:val="7"/>
                <w:szCs w:val="7"/>
                <w:color w:val="auto"/>
              </w:rPr>
            </w:pPr>
          </w:p>
        </w:tc>
        <w:tc>
          <w:tcPr>
            <w:tcW w:w="3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26,342,102</w:t>
            </w: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99,757</w:t>
            </w:r>
          </w:p>
        </w:tc>
        <w:tc>
          <w:tcPr>
            <w:tcW w:w="2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47,578,934</w:t>
            </w:r>
          </w:p>
        </w:tc>
        <w:tc>
          <w:tcPr>
            <w:tcW w:w="18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225,571</w:t>
            </w:r>
          </w:p>
        </w:tc>
        <w:tc>
          <w:tcPr>
            <w:tcW w:w="220" w:type="dxa"/>
            <w:vAlign w:val="bottom"/>
            <w:tcBorders>
              <w:top w:val="single" w:sz="8" w:color="CFF0FC"/>
              <w:right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2,594,960</w:t>
            </w: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15,997</w:t>
            </w:r>
          </w:p>
        </w:tc>
        <w:tc>
          <w:tcPr>
            <w:tcW w:w="1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(52,353)</w:t>
            </w:r>
          </w:p>
        </w:tc>
        <w:tc>
          <w:tcPr>
            <w:tcW w:w="10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(36,163)</w:t>
            </w:r>
          </w:p>
        </w:tc>
        <w:tc>
          <w:tcPr>
            <w:tcW w:w="12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34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auto"/>
              </w:rPr>
              <w:t>2025</w:t>
            </w:r>
          </w:p>
        </w:tc>
        <w:tc>
          <w:tcPr>
            <w:tcW w:w="5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3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2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-892810</wp:posOffset>
            </wp:positionV>
            <wp:extent cx="615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-892810</wp:posOffset>
            </wp:positionV>
            <wp:extent cx="615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-892810</wp:posOffset>
            </wp:positionV>
            <wp:extent cx="615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-892810</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-892810</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-892810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-892810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4521835</wp:posOffset>
            </wp:positionH>
            <wp:positionV relativeFrom="paragraph">
              <wp:posOffset>-892810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-892810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-892810</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-892810</wp:posOffset>
            </wp:positionV>
            <wp:extent cx="615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-892810</wp:posOffset>
            </wp:positionV>
            <wp:extent cx="749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-203835</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-203835</wp:posOffset>
            </wp:positionV>
            <wp:extent cx="615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-203835</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-203835</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-203835</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-203835</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-203835</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4521835</wp:posOffset>
            </wp:positionH>
            <wp:positionV relativeFrom="paragraph">
              <wp:posOffset>-203835</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-203835</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-203835</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-203835</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-203835</wp:posOffset>
            </wp:positionV>
            <wp:extent cx="749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4"/>
          <w:szCs w:val="14"/>
          <w:b w:val="1"/>
          <w:bCs w:val="1"/>
          <w:i w:val="1"/>
          <w:iCs w:val="1"/>
          <w:color w:val="auto"/>
        </w:rPr>
        <w:t>(Unaudited)</w:t>
      </w:r>
    </w:p>
    <w:p>
      <w:pPr>
        <w:spacing w:after="0" w:line="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gridSpan w:val="6"/>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58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(25,408)</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expense</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Related party payable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(1,499)</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(323)</w:t>
            </w: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(20,172)</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(20,205)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4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(47,150)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(225,497)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(used in) investing activities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(225,551)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(783)</w:t>
            </w: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(245,756)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160" w:type="dxa"/>
            <w:vAlign w:val="bottom"/>
            <w:gridSpan w:val="2"/>
            <w:shd w:val="clear" w:color="auto" w:fill="CFF0FC"/>
          </w:tcPr>
          <w:p>
            <w:pPr>
              <w:jc w:val="right"/>
              <w:ind w:right="58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0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8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 of non-cash operating, financing, and investing</w:t>
            </w:r>
          </w:p>
        </w:tc>
        <w:tc>
          <w:tcPr>
            <w:tcW w:w="4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4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1160" w:type="dxa"/>
            <w:vAlign w:val="bottom"/>
            <w:gridSpan w:val="2"/>
          </w:tcPr>
          <w:p>
            <w:pPr>
              <w:jc w:val="right"/>
              <w:ind w:right="58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expenses</w:t>
            </w:r>
          </w:p>
        </w:tc>
        <w:tc>
          <w:tcPr>
            <w:tcW w:w="1160" w:type="dxa"/>
            <w:vAlign w:val="bottom"/>
            <w:gridSpan w:val="2"/>
            <w:shd w:val="clear" w:color="auto" w:fill="CFF0FC"/>
          </w:tcPr>
          <w:p>
            <w:pPr>
              <w:jc w:val="right"/>
              <w:ind w:right="58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-1922145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-1922145</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-1478915</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-1478915</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-1150620</wp:posOffset>
            </wp:positionV>
            <wp:extent cx="73025" cy="147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-565150</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-551815</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-565150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-551815</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NATURE OF BUSINESS AND BASIS OF PRESENTATION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01"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spacing w:after="0" w:line="50"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The Company's lead product candidate, GlyphAllo ("Glyph Allopregnanolone"), is a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w:t>
      </w:r>
    </w:p>
    <w:p>
      <w:pPr>
        <w:spacing w:after="0" w:line="8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Company's second product candidate, GlyphAgo ("Glyph Agomelatine"), is a Glyphed oral prodrug of agomelatine, a clinically validated anxiolytic and antidepressant that is approved for the treatment of generalized anxiety disorder, or GAD, in Australia and MDD in Australia and the European Union, or EU.</w:t>
      </w:r>
    </w:p>
    <w:p>
      <w:pPr>
        <w:spacing w:after="0" w:line="5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is also advancing Glyph2BLSD (Glyph 2-bromo-LSD), a Glyphed oral prodrug of the non-hallucinogenic LSD analog 2-bromo-LSD, in preclinical studies for depressive disorders, including treatment-resistant depression, or TRD, post-traumatic stress disorder, or PTSD, and headache disorders.</w:t>
      </w:r>
    </w:p>
    <w:p>
      <w:pPr>
        <w:spacing w:after="0" w:line="7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0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On April 24, 2026, in anticipation of our initial public offering ("IPO"), the Company effected a 1-for-3.1407 reverse stock split of its issued and outstanding shares of common stock and a proportional adjustment to the existing conversion ratios of each series of the Company’s convertible preferred stock. The par value and authorized number of shares of common stock and convertible preferred stock were not adjusted as a result. All share and per share amounts for all periods presented in the accompanying condensed consolidated financial statements and notes thereto have been adjusted retroactively, where applicable, to reflect the effect of the reverse stock split.</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1"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During the second quarter of 2026, the Company completed its IPO, in which the Company sold an aggregate of 14,446,658 shares of its common stock, including 286,568 shares issued pursuant to the exercise of the underwriters' overallotment option, at a public offering price of $18.00 per share resulting in aggregate net proceeds of approximately $238.7 million, after deducting underwriter discounts, commissions and other estimated offering expenses.</w:t>
      </w:r>
    </w:p>
    <w:p>
      <w:pPr>
        <w:spacing w:after="0" w:line="5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Immediately prior to the closing of the IPO, the Company's outstanding convertible preferred stock automatically converted into 36,272,475 shares of common stock. Following the closing of the IPO, no shares of convertible preferred stock were outstanding. In connection with the closing of the IPO, the Company's certificate of incorporation was amended and restated to authorize 700,000,000 shares of common stock, including 500,000,000 shares of voting common stock and 200,000,000 shares of non-voting common stock, par value $0.0001 per share and 10,000,000 shares of undesignated preferred stock, par value $0.0001 per share.</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accordance with Accounting Standards Update (“ASU”) 2014-15, Disclosure of Uncertainties About an Entity’s Ability to Continue as a Going Concern (Subtopic 205-40), the Company has evaluated whether there are conditions and events that raise substantial doubt about the Company’s ability to continue as a going concern within one year after the date the condensed consolidated financial statements are issued. The accompanying condensed consolidated financial statements have been prepared on a going-concern basis, which contemplates the realization of assets and satisfaction of liabilities in the normal course of business.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both"/>
        <w:ind w:left="640" w:right="639" w:firstLine="258"/>
        <w:spacing w:after="0" w:line="259" w:lineRule="auto"/>
        <w:rPr>
          <w:sz w:val="20"/>
          <w:szCs w:val="20"/>
          <w:color w:val="auto"/>
        </w:rPr>
      </w:pPr>
      <w:r>
        <w:rPr>
          <w:rFonts w:ascii="Times New Roman" w:cs="Times New Roman" w:eastAsia="Times New Roman" w:hAnsi="Times New Roman"/>
          <w:sz w:val="14"/>
          <w:szCs w:val="14"/>
          <w:color w:val="auto"/>
        </w:rPr>
        <w:t>Since inception, the Company has incurred significant operating losses. During the three months ended March 31, 2026 and 2025, the Company had a net loss of $25.4 million and $13.1 million, respectively. As of March 31, 2026, the Company had an accumulated deficit of $139.5 million. The Company has not generated any revenue from product sales and does not expect to generate revenue from sales of products in the near term, if at all. The Company expects to incur significant expenses and operating losses for the foreseeable future as it advances its product candidates into and through clinical development and continues to develop additional product candidates. As such, the Company expects our research and development and general and administrative costs to continue to increase significantly,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pacing w:after="0" w:line="151"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To date, prior to the Company's initial public offering, the Company has funded its operations with the aggregate gross proceeds of $326.1 million from the Series A and Series B Financings. During the second quarter of 2026, the Company raised aggregate net proceeds of $238.7 million from the sale of shares of common stock in its initial public offering, after deducting underwriter discounts, commissions and other estimated offering expenses. The Company believes that its existing cash, cash equivalents and investments of $212.6 million as of March 31, 2026, together with the additional proceeds received from the IPO, will be sufficient to allow the Company to fund operations at least twelve months from the date that of these condensed consolidated financial statements are issued.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conformity with accounting principles generally accepted in the United States of America, or GAAP. These condensed consolidated financial statements include the accounts of Seaport Therapeutics, Inc. and its wholly owned subsidiaries. All intercompany transactions and balances have been eliminated in consolidation.</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March 31, 2026, PureTech continued to provide various corporate services under the transition services agreement, or the TSA, which was initially set to terminate one year following the date of the Asset Transfer Agreement. In 2025, the TSA was amended to extend through July 2026 to provide ad-hoc support; however, the total value of the services are not material and the agreement was cancelled in April 2026.</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IPO final prospectus filed pursuant to Rule 424(b) (4) under the Securities Act with the SEC on May 1, 2026.</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financial information</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accompanying condensed consolidated balance sheet as of March 31, 2026, and the condensed consolidated statements of operations and comprehensive loss, condensed consolidated statements of convertible preferred stock and stockholders' deficit and condensed consolidated statements of cash flows for the three months ended March 31, 2026 and 2025 are unaudited. The condensed consolidated interim financial statements have been prepared on the same basis as the December 31, 2025 and 2024 audited financial statements and, in the opinion of management, reflect all adjustments, which include only normal recurring adjustments necessary for the fair statement of the Company's condensed consolidated financial statements as of March 31, 2026. The results for the three months ended March 31, 2026 are not necessarily indicative of results to be expected for the year ending December 31, 2026, or for any other subsequent period.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condensed consolidated balance sheet within other non-current assets and includes amounts held as a security deposit for a letter of credit in connection with leased facilities and its corporate card program.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2" w:right="1440"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Company’s cash, cash equivalents, and restricted cash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within other non-current assets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Total cash, cash equivalents, and restricted cash per the condensed consolidated</w:t>
            </w: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5320" w:type="dxa"/>
            <w:vAlign w:val="bottom"/>
            <w:vMerge w:val="restart"/>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statements of cash flows</w:t>
            </w:r>
          </w:p>
        </w:tc>
        <w:tc>
          <w:tcPr>
            <w:tcW w:w="180" w:type="dxa"/>
            <w:vAlign w:val="bottom"/>
            <w:vMerge w:val="continue"/>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340" w:type="dxa"/>
            <w:vAlign w:val="bottom"/>
            <w:gridSpan w:val="2"/>
            <w:vMerge w:val="continue"/>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CFF0FC"/>
            </w:tcBorders>
            <w:vMerge w:val="continue"/>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or delayed the deferred offering costs would be expensed immediately as a charge to operating expenses in the condensed consolidated statements of operations and comprehensive loss. The Company recorded deferred offering costs of $2.2 million and $1.2 million within other non-current assets as of March 31, 2026 and December 31, 2025.</w:t>
      </w: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Government Grants</w:t>
      </w:r>
    </w:p>
    <w:p>
      <w:pPr>
        <w:spacing w:after="0" w:line="133" w:lineRule="exact"/>
        <w:rPr>
          <w:sz w:val="20"/>
          <w:szCs w:val="20"/>
          <w:color w:val="auto"/>
        </w:rPr>
      </w:pPr>
    </w:p>
    <w:p>
      <w:pPr>
        <w:jc w:val="both"/>
        <w:ind w:left="640" w:right="659" w:firstLine="344"/>
        <w:spacing w:after="0" w:line="262" w:lineRule="auto"/>
        <w:rPr>
          <w:sz w:val="20"/>
          <w:szCs w:val="20"/>
          <w:color w:val="auto"/>
        </w:rPr>
      </w:pPr>
      <w:r>
        <w:rPr>
          <w:rFonts w:ascii="Times New Roman" w:cs="Times New Roman" w:eastAsia="Times New Roman" w:hAnsi="Times New Roman"/>
          <w:sz w:val="14"/>
          <w:szCs w:val="14"/>
          <w:color w:val="auto"/>
        </w:rPr>
        <w:t xml:space="preserve">The Company received an award to perform research activities by a United States government agency which provides the Company with payments to reimburse research and development expenses. </w:t>
      </w:r>
      <w:r>
        <w:rPr>
          <w:rFonts w:ascii="Arial" w:cs="Arial" w:eastAsia="Arial" w:hAnsi="Arial"/>
          <w:sz w:val="12"/>
          <w:szCs w:val="12"/>
          <w:color w:val="auto"/>
        </w:rPr>
        <w:t>The Company accounts for government awards under ASC</w:t>
      </w:r>
      <w:r>
        <w:rPr>
          <w:rFonts w:ascii="Times New Roman" w:cs="Times New Roman" w:eastAsia="Times New Roman" w:hAnsi="Times New Roman"/>
          <w:sz w:val="14"/>
          <w:szCs w:val="14"/>
          <w:color w:val="auto"/>
        </w:rPr>
        <w:t xml:space="preserve"> </w:t>
      </w:r>
      <w:r>
        <w:rPr>
          <w:rFonts w:ascii="Arial" w:cs="Arial" w:eastAsia="Arial" w:hAnsi="Arial"/>
          <w:sz w:val="12"/>
          <w:szCs w:val="12"/>
          <w:color w:val="auto"/>
        </w:rPr>
        <w:t xml:space="preserve">832, Government Assistance. </w:t>
      </w:r>
      <w:r>
        <w:rPr>
          <w:rFonts w:ascii="Times New Roman" w:cs="Times New Roman" w:eastAsia="Times New Roman" w:hAnsi="Times New Roman"/>
          <w:sz w:val="14"/>
          <w:szCs w:val="14"/>
          <w:color w:val="auto"/>
        </w:rPr>
        <w:t>For awards related to income, the Company recognizes amounts earned under government awards when</w:t>
      </w:r>
      <w:r>
        <w:rPr>
          <w:rFonts w:ascii="Arial" w:cs="Arial" w:eastAsia="Arial" w:hAnsi="Arial"/>
          <w:sz w:val="12"/>
          <w:szCs w:val="12"/>
          <w:color w:val="auto"/>
        </w:rPr>
        <w:t xml:space="preserve"> </w:t>
      </w:r>
      <w:r>
        <w:rPr>
          <w:rFonts w:ascii="Times New Roman" w:cs="Times New Roman" w:eastAsia="Times New Roman" w:hAnsi="Times New Roman"/>
          <w:sz w:val="14"/>
          <w:szCs w:val="14"/>
          <w:color w:val="auto"/>
        </w:rPr>
        <w:t>it is deemed probable that the Company will comply with the conditions attached to the government award and the government award will be received. The Company recognizes amounts earned under government awards as a reduction of research and development expense as the qualifying research expense is incurred, and records a corresponding receivable within prepaid and other current assets on its condensed consolidated balance sheet.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There is no allocation required under the two-class method during periods of loss since the participating securities do not have a contractual obligation to share in the losses.</w:t>
      </w:r>
    </w:p>
    <w:p>
      <w:pPr>
        <w:spacing w:after="0" w:line="149" w:lineRule="exact"/>
        <w:rPr>
          <w:sz w:val="20"/>
          <w:szCs w:val="20"/>
          <w:color w:val="auto"/>
        </w:rPr>
      </w:pPr>
    </w:p>
    <w:p>
      <w:pPr>
        <w:ind w:left="640" w:right="779" w:firstLine="516"/>
        <w:spacing w:after="0" w:line="265"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in each period by the weighted average number of shares of common stock outstanding during such period, excluding potentially dilutive common shares. 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20" w:lineRule="exact"/>
        <w:rPr>
          <w:sz w:val="20"/>
          <w:szCs w:val="20"/>
          <w:color w:val="auto"/>
        </w:rPr>
      </w:pPr>
    </w:p>
    <w:p>
      <w:pPr>
        <w:jc w:val="both"/>
        <w:ind w:left="640" w:right="659" w:firstLine="344"/>
        <w:spacing w:after="0" w:line="262"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Government Grants (Topic 832): Accounting for Government Grants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Received by Business Entities</w:t>
      </w:r>
      <w:r>
        <w:rPr>
          <w:rFonts w:ascii="Times New Roman" w:cs="Times New Roman" w:eastAsia="Times New Roman" w:hAnsi="Times New Roman"/>
          <w:sz w:val="14"/>
          <w:szCs w:val="14"/>
          <w:color w:val="auto"/>
        </w:rPr>
        <w:t>, which adds guidance to ASC 832 on the recognition, measurement, and presentation of government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grants. In developing the ASU’s recognition and measurement framework, the FASB largely leveraged the guidance in IAS 20, to which many for-profit entities that apply U.S. GAAP have historically analogized when accounting for government grants. The ASU is effective for fiscal years beginning after December 15, 2028, including interim periods within those fiscal years. Early adoption is permitted. The Company early adopted ASU 2025-10 prospectively on January 1, 2026. There was not a material impact on the Company’s condensed consolidated financial statements as a result of this adoption.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Updates Not Yet Adopted</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Disclosures (Subtopic 220-40): Disaggregation of Income Statement Expenses</w:t>
      </w:r>
      <w:r>
        <w:rPr>
          <w:rFonts w:ascii="Times New Roman" w:cs="Times New Roman" w:eastAsia="Times New Roman" w:hAnsi="Times New Roman"/>
          <w:sz w:val="14"/>
          <w:szCs w:val="14"/>
          <w:color w:val="auto"/>
        </w:rPr>
        <w:t>, or ASU 2024-03, which is intended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26"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3. PREPAID EXPENSES AND OTHER CURRENT ASSETS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research and development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Australia research and development tax credit receivable</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Prepaid other</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Borders>
              <w:bottom w:val="single" w:sz="8" w:color="CFF0FC"/>
            </w:tcBorders>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5,736</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financial assets, and liabilities carried at fair value on a recurring basis (in thousands):</w:t>
      </w: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7" w:lineRule="exact"/>
        <w:rPr>
          <w:sz w:val="20"/>
          <w:szCs w:val="20"/>
          <w:color w:val="auto"/>
        </w:rPr>
      </w:pPr>
    </w:p>
    <w:tbl>
      <w:tblPr>
        <w:tblLayout w:type="fixed"/>
        <w:tblInd w:w="4360" w:type="dxa"/>
        <w:tblCellMar>
          <w:top w:w="0" w:type="dxa"/>
          <w:left w:w="0" w:type="dxa"/>
          <w:bottom w:w="0" w:type="dxa"/>
          <w:right w:w="0" w:type="dxa"/>
        </w:tblCellMar>
      </w:tblPr>
      <w:tr>
        <w:trPr>
          <w:trHeight w:val="90"/>
        </w:trPr>
        <w:tc>
          <w:tcPr>
            <w:tcW w:w="8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left="64"/>
              <w:spacing w:after="0" w:line="91"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920" w:type="dxa"/>
            <w:vAlign w:val="bottom"/>
            <w:tcBorders>
              <w:top w:val="single" w:sz="8" w:color="auto"/>
            </w:tcBorders>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16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10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6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920" w:type="dxa"/>
            <w:vAlign w:val="bottom"/>
          </w:tcPr>
          <w:p>
            <w:pPr>
              <w:jc w:val="center"/>
              <w:ind w:left="3"/>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50"/>
        </w:trPr>
        <w:tc>
          <w:tcPr>
            <w:tcW w:w="800" w:type="dxa"/>
            <w:vAlign w:val="bottom"/>
            <w:vMerge w:val="continue"/>
          </w:tcPr>
          <w:p>
            <w:pPr>
              <w:spacing w:after="0"/>
              <w:rPr>
                <w:sz w:val="13"/>
                <w:szCs w:val="13"/>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0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9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u w:val="single" w:color="auto"/>
                <w:color w:val="auto"/>
              </w:rPr>
              <w:t>inputs (Level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wp:posOffset>
            </wp:positionV>
            <wp:extent cx="4909820" cy="1162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09820" cy="11620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p>
      <w:pPr>
        <w:ind w:left="640"/>
        <w:spacing w:after="0"/>
        <w:rPr>
          <w:sz w:val="20"/>
          <w:szCs w:val="20"/>
          <w:color w:val="auto"/>
        </w:rPr>
      </w:pPr>
      <w:r>
        <w:rPr>
          <w:rFonts w:ascii="Times New Roman" w:cs="Times New Roman" w:eastAsia="Times New Roman" w:hAnsi="Times New Roman"/>
          <w:sz w:val="14"/>
          <w:szCs w:val="14"/>
          <w:color w:val="auto"/>
        </w:rPr>
        <w:t>Cash equivalents: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Money market funds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Investments: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 treasuries</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Total financial assets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0" w:type="dxa"/>
            <w:vAlign w:val="bottom"/>
            <w:gridSpan w:val="2"/>
          </w:tcPr>
          <w:p>
            <w:pPr>
              <w:jc w:val="right"/>
              <w:ind w:right="13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w:t>
            </w:r>
          </w:p>
        </w:tc>
      </w:tr>
      <w:tr>
        <w:trPr>
          <w:trHeight w:val="344"/>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159,733</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159,733</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w:t>
            </w:r>
          </w:p>
        </w:tc>
      </w:tr>
      <w:tr>
        <w:trPr>
          <w:trHeight w:val="164"/>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212,020</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159,733</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-353695</wp:posOffset>
            </wp:positionV>
            <wp:extent cx="4909820" cy="1092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-128905</wp:posOffset>
            </wp:positionV>
            <wp:extent cx="4909820" cy="129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09820" cy="129540"/>
                    </a:xfrm>
                    <a:prstGeom prst="rect">
                      <a:avLst/>
                    </a:prstGeom>
                    <a:noFill/>
                  </pic:spPr>
                </pic:pic>
              </a:graphicData>
            </a:graphic>
          </wp:anchor>
        </w:drawing>
      </w:r>
    </w:p>
    <w:p>
      <w:pPr>
        <w:spacing w:after="0" w:line="1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8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left="64"/>
              <w:spacing w:after="0" w:line="91"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920" w:type="dxa"/>
            <w:vAlign w:val="bottom"/>
            <w:tcBorders>
              <w:top w:val="single" w:sz="8" w:color="auto"/>
            </w:tcBorders>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16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10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60" w:type="dxa"/>
            <w:vAlign w:val="bottom"/>
          </w:tcPr>
          <w:p>
            <w:pPr>
              <w:jc w:val="center"/>
              <w:ind w:left="64"/>
              <w:spacing w:after="0" w:line="119"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920" w:type="dxa"/>
            <w:vAlign w:val="bottom"/>
          </w:tcPr>
          <w:p>
            <w:pPr>
              <w:jc w:val="center"/>
              <w:ind w:left="3"/>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37"/>
        </w:trPr>
        <w:tc>
          <w:tcPr>
            <w:tcW w:w="800" w:type="dxa"/>
            <w:vAlign w:val="bottom"/>
            <w:vMerge w:val="continue"/>
          </w:tcPr>
          <w:p>
            <w:pPr>
              <w:spacing w:after="0"/>
              <w:rPr>
                <w:sz w:val="11"/>
                <w:szCs w:val="11"/>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0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9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40" w:space="720"/>
            <w:col w:w="4659"/>
          </w:cols>
          <w:pgMar w:left="1440" w:top="1068" w:right="1440" w:bottom="1440" w:gutter="0" w:footer="0" w:header="0"/>
          <w:type w:val="continuous"/>
        </w:sectPr>
      </w:pPr>
    </w:p>
    <w:tbl>
      <w:tblPr>
        <w:tblLayout w:type="fixed"/>
        <w:tblInd w:w="640" w:type="dxa"/>
        <w:tblCellMar>
          <w:top w:w="0" w:type="dxa"/>
          <w:left w:w="0" w:type="dxa"/>
          <w:bottom w:w="0" w:type="dxa"/>
          <w:right w:w="0" w:type="dxa"/>
        </w:tblCellMar>
      </w:tblPr>
      <w:tr>
        <w:trPr>
          <w:trHeight w:val="163"/>
        </w:trPr>
        <w:tc>
          <w:tcPr>
            <w:tcW w:w="2460" w:type="dxa"/>
            <w:vAlign w:val="bottom"/>
            <w:tcBorders>
              <w:top w:val="single" w:sz="8" w:color="CAEEFB"/>
            </w:tcBorders>
            <w:shd w:val="clear" w:color="auto" w:fill="CAEEFB"/>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1260" w:type="dxa"/>
            <w:vAlign w:val="bottom"/>
            <w:tcBorders>
              <w:top w:val="single" w:sz="8" w:color="CAEEFB"/>
            </w:tcBorders>
            <w:shd w:val="clear" w:color="auto" w:fill="CAEEFB"/>
          </w:tcPr>
          <w:p>
            <w:pPr>
              <w:spacing w:after="0"/>
              <w:rPr>
                <w:sz w:val="14"/>
                <w:szCs w:val="14"/>
                <w:color w:val="auto"/>
              </w:rPr>
            </w:pPr>
          </w:p>
        </w:tc>
        <w:tc>
          <w:tcPr>
            <w:tcW w:w="220" w:type="dxa"/>
            <w:vAlign w:val="bottom"/>
            <w:tcBorders>
              <w:top w:val="single" w:sz="8" w:color="auto"/>
            </w:tcBorders>
            <w:shd w:val="clear" w:color="auto" w:fill="CAEEFB"/>
          </w:tcPr>
          <w:p>
            <w:pPr>
              <w:spacing w:after="0"/>
              <w:rPr>
                <w:sz w:val="14"/>
                <w:szCs w:val="14"/>
                <w:color w:val="auto"/>
              </w:rPr>
            </w:pPr>
          </w:p>
        </w:tc>
        <w:tc>
          <w:tcPr>
            <w:tcW w:w="640" w:type="dxa"/>
            <w:vAlign w:val="bottom"/>
            <w:tcBorders>
              <w:top w:val="single" w:sz="8" w:color="auto"/>
            </w:tcBorders>
            <w:shd w:val="clear" w:color="auto" w:fill="CAEEFB"/>
          </w:tcPr>
          <w:p>
            <w:pPr>
              <w:spacing w:after="0"/>
              <w:rPr>
                <w:sz w:val="14"/>
                <w:szCs w:val="14"/>
                <w:color w:val="auto"/>
              </w:rPr>
            </w:pPr>
          </w:p>
        </w:tc>
        <w:tc>
          <w:tcPr>
            <w:tcW w:w="160" w:type="dxa"/>
            <w:vAlign w:val="bottom"/>
            <w:tcBorders>
              <w:top w:val="single" w:sz="8" w:color="CAEEFB"/>
            </w:tcBorders>
            <w:shd w:val="clear" w:color="auto" w:fill="CAEEFB"/>
          </w:tcPr>
          <w:p>
            <w:pPr>
              <w:spacing w:after="0"/>
              <w:rPr>
                <w:sz w:val="14"/>
                <w:szCs w:val="14"/>
                <w:color w:val="auto"/>
              </w:rPr>
            </w:pPr>
          </w:p>
        </w:tc>
        <w:tc>
          <w:tcPr>
            <w:tcW w:w="280" w:type="dxa"/>
            <w:vAlign w:val="bottom"/>
            <w:tcBorders>
              <w:top w:val="single" w:sz="8" w:color="auto"/>
            </w:tcBorders>
            <w:shd w:val="clear" w:color="auto" w:fill="CAEEFB"/>
          </w:tcPr>
          <w:p>
            <w:pPr>
              <w:spacing w:after="0"/>
              <w:rPr>
                <w:sz w:val="14"/>
                <w:szCs w:val="14"/>
                <w:color w:val="auto"/>
              </w:rPr>
            </w:pPr>
          </w:p>
        </w:tc>
        <w:tc>
          <w:tcPr>
            <w:tcW w:w="600" w:type="dxa"/>
            <w:vAlign w:val="bottom"/>
            <w:tcBorders>
              <w:top w:val="single" w:sz="8" w:color="auto"/>
            </w:tcBorders>
            <w:shd w:val="clear" w:color="auto" w:fill="CAEEFB"/>
          </w:tcPr>
          <w:p>
            <w:pPr>
              <w:spacing w:after="0"/>
              <w:rPr>
                <w:sz w:val="14"/>
                <w:szCs w:val="14"/>
                <w:color w:val="auto"/>
              </w:rPr>
            </w:pPr>
          </w:p>
        </w:tc>
        <w:tc>
          <w:tcPr>
            <w:tcW w:w="160" w:type="dxa"/>
            <w:vAlign w:val="bottom"/>
            <w:tcBorders>
              <w:top w:val="single" w:sz="8" w:color="CAEEFB"/>
            </w:tcBorders>
            <w:shd w:val="clear" w:color="auto" w:fill="CAEEFB"/>
          </w:tcPr>
          <w:p>
            <w:pPr>
              <w:spacing w:after="0"/>
              <w:rPr>
                <w:sz w:val="14"/>
                <w:szCs w:val="14"/>
                <w:color w:val="auto"/>
              </w:rPr>
            </w:pPr>
          </w:p>
        </w:tc>
        <w:tc>
          <w:tcPr>
            <w:tcW w:w="220" w:type="dxa"/>
            <w:vAlign w:val="bottom"/>
            <w:tcBorders>
              <w:top w:val="single" w:sz="8" w:color="auto"/>
            </w:tcBorders>
            <w:shd w:val="clear" w:color="auto" w:fill="CAEEFB"/>
          </w:tcPr>
          <w:p>
            <w:pPr>
              <w:spacing w:after="0"/>
              <w:rPr>
                <w:sz w:val="14"/>
                <w:szCs w:val="14"/>
                <w:color w:val="auto"/>
              </w:rPr>
            </w:pPr>
          </w:p>
        </w:tc>
        <w:tc>
          <w:tcPr>
            <w:tcW w:w="640" w:type="dxa"/>
            <w:vAlign w:val="bottom"/>
            <w:tcBorders>
              <w:top w:val="single" w:sz="8" w:color="auto"/>
            </w:tcBorders>
            <w:shd w:val="clear" w:color="auto" w:fill="CAEEFB"/>
          </w:tcPr>
          <w:p>
            <w:pPr>
              <w:spacing w:after="0"/>
              <w:rPr>
                <w:sz w:val="14"/>
                <w:szCs w:val="14"/>
                <w:color w:val="auto"/>
              </w:rPr>
            </w:pPr>
          </w:p>
        </w:tc>
        <w:tc>
          <w:tcPr>
            <w:tcW w:w="160" w:type="dxa"/>
            <w:vAlign w:val="bottom"/>
            <w:tcBorders>
              <w:top w:val="single" w:sz="8" w:color="CAEEFB"/>
            </w:tcBorders>
            <w:shd w:val="clear" w:color="auto" w:fill="CAEEFB"/>
          </w:tcPr>
          <w:p>
            <w:pPr>
              <w:spacing w:after="0"/>
              <w:rPr>
                <w:sz w:val="14"/>
                <w:szCs w:val="14"/>
                <w:color w:val="auto"/>
              </w:rPr>
            </w:pPr>
          </w:p>
        </w:tc>
        <w:tc>
          <w:tcPr>
            <w:tcW w:w="380" w:type="dxa"/>
            <w:vAlign w:val="bottom"/>
            <w:tcBorders>
              <w:top w:val="single" w:sz="8" w:color="auto"/>
            </w:tcBorders>
            <w:shd w:val="clear" w:color="auto" w:fill="CAEEFB"/>
          </w:tcPr>
          <w:p>
            <w:pPr>
              <w:spacing w:after="0"/>
              <w:rPr>
                <w:sz w:val="14"/>
                <w:szCs w:val="14"/>
                <w:color w:val="auto"/>
              </w:rPr>
            </w:pPr>
          </w:p>
        </w:tc>
        <w:tc>
          <w:tcPr>
            <w:tcW w:w="460" w:type="dxa"/>
            <w:vAlign w:val="bottom"/>
            <w:tcBorders>
              <w:top w:val="single" w:sz="8" w:color="auto"/>
            </w:tcBorders>
            <w:shd w:val="clear" w:color="auto" w:fill="CAEEFB"/>
          </w:tcPr>
          <w:p>
            <w:pPr>
              <w:spacing w:after="0"/>
              <w:rPr>
                <w:sz w:val="14"/>
                <w:szCs w:val="14"/>
                <w:color w:val="auto"/>
              </w:rPr>
            </w:pPr>
          </w:p>
        </w:tc>
        <w:tc>
          <w:tcPr>
            <w:tcW w:w="100" w:type="dxa"/>
            <w:vAlign w:val="bottom"/>
            <w:tcBorders>
              <w:top w:val="single" w:sz="8" w:color="CAEEFB"/>
            </w:tcBorders>
            <w:shd w:val="clear" w:color="auto" w:fill="CAEEFB"/>
          </w:tcPr>
          <w:p>
            <w:pPr>
              <w:spacing w:after="0"/>
              <w:rPr>
                <w:sz w:val="14"/>
                <w:szCs w:val="14"/>
                <w:color w:val="auto"/>
              </w:rPr>
            </w:pP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4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Investments:</w:t>
            </w:r>
          </w:p>
        </w:tc>
        <w:tc>
          <w:tcPr>
            <w:tcW w:w="126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280" w:type="dxa"/>
            <w:vAlign w:val="bottom"/>
            <w:shd w:val="clear" w:color="auto" w:fill="CAEEFB"/>
          </w:tcPr>
          <w:p>
            <w:pPr>
              <w:spacing w:after="0"/>
              <w:rPr>
                <w:sz w:val="14"/>
                <w:szCs w:val="14"/>
                <w:color w:val="auto"/>
              </w:rPr>
            </w:pPr>
          </w:p>
        </w:tc>
        <w:tc>
          <w:tcPr>
            <w:tcW w:w="60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380" w:type="dxa"/>
            <w:vAlign w:val="bottom"/>
            <w:shd w:val="clear" w:color="auto" w:fill="CAEEFB"/>
          </w:tcPr>
          <w:p>
            <w:pPr>
              <w:spacing w:after="0"/>
              <w:rPr>
                <w:sz w:val="14"/>
                <w:szCs w:val="14"/>
                <w:color w:val="auto"/>
              </w:rPr>
            </w:pPr>
          </w:p>
        </w:tc>
        <w:tc>
          <w:tcPr>
            <w:tcW w:w="4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r>
      <w:tr>
        <w:trPr>
          <w:trHeight w:val="17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U.S. treasuries</w:t>
            </w: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r>
      <w:tr>
        <w:trPr>
          <w:trHeight w:val="183"/>
        </w:trPr>
        <w:tc>
          <w:tcPr>
            <w:tcW w:w="24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148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233,321</w:t>
            </w:r>
          </w:p>
        </w:tc>
        <w:tc>
          <w:tcPr>
            <w:tcW w:w="440" w:type="dxa"/>
            <w:vAlign w:val="bottom"/>
            <w:gridSpan w:val="2"/>
            <w:shd w:val="clear" w:color="auto" w:fill="CAEEFB"/>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38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540" w:type="dxa"/>
            <w:vAlign w:val="bottom"/>
            <w:gridSpan w:val="2"/>
            <w:shd w:val="clear" w:color="auto" w:fill="CAEEFB"/>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AEEFB"/>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460" w:type="dxa"/>
            <w:vAlign w:val="bottom"/>
            <w:tcBorders>
              <w:top w:val="single" w:sz="8" w:color="CAEEFB"/>
            </w:tcBorders>
            <w:shd w:val="clear" w:color="auto" w:fill="CAEEFB"/>
          </w:tcPr>
          <w:p>
            <w:pPr>
              <w:spacing w:after="0" w:line="20" w:lineRule="exact"/>
              <w:rPr>
                <w:sz w:val="1"/>
                <w:szCs w:val="1"/>
                <w:color w:val="auto"/>
              </w:rPr>
            </w:pPr>
          </w:p>
        </w:tc>
        <w:tc>
          <w:tcPr>
            <w:tcW w:w="1260" w:type="dxa"/>
            <w:vAlign w:val="bottom"/>
            <w:tcBorders>
              <w:top w:val="single" w:sz="8" w:color="CAEEFB"/>
            </w:tcBorders>
            <w:shd w:val="clear" w:color="auto" w:fill="CAEEFB"/>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AEEFB"/>
            </w:tcBorders>
            <w:shd w:val="clear" w:color="auto" w:fill="CAEEF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-19685</wp:posOffset>
            </wp:positionV>
            <wp:extent cx="476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-6350</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47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47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-19685</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-6350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2026 and December 31, 2025, the Company’s cash equivalents consisted of money market funds which are classified as Level 1 financial assets, as these assets are valued using quoted market prices in active markets without any valuation adjustment. As of March 31, 2026 and December 31, 2025, the Company's investments consisted of United States treasuries, which are classified as Level 2 financial assets. The Company estimates the fair value of the investments by taking into consideration valuations obtained from third-party pricing sources. As of March 31, 2026 and December 31, 2025, the Company had no financial liabilities that required fair value measurement. As of March 31, 2026, there were no securities in an unrealized loss position for more than twelve months.</w:t>
      </w:r>
    </w:p>
    <w:p>
      <w:pPr>
        <w:spacing w:after="0" w:line="144"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there were no transfers or reclassifications between fair value measurement levels of assets. The carrying amounts reflected in the condensed consolidated balance sheets for prepaid expenses and other current assets, accounts payable, related party payable and accrued expenses and other current liabilities approximate fair value due to their short-term nature.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type w:val="continuous"/>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5. INVESTMENTS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Company’s investments held (in thousands):</w:t>
      </w:r>
    </w:p>
    <w:p>
      <w:pPr>
        <w:spacing w:after="0" w:line="307"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center"/>
              <w:ind w:right="77"/>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tcPr>
          <w:p>
            <w:pPr>
              <w:jc w:val="center"/>
              <w:ind w:right="300"/>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Holding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Holding</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Borders>
              <w:top w:val="single" w:sz="8" w:color="auto"/>
            </w:tcBorders>
            <w:shd w:val="clear" w:color="auto" w:fill="CAEEFB"/>
          </w:tcPr>
          <w:p>
            <w:pPr>
              <w:spacing w:after="0"/>
              <w:rPr>
                <w:sz w:val="14"/>
                <w:szCs w:val="14"/>
                <w:color w:val="auto"/>
              </w:rPr>
            </w:pPr>
          </w:p>
        </w:tc>
        <w:tc>
          <w:tcPr>
            <w:tcW w:w="60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shd w:val="clear" w:color="auto" w:fill="CAEEFB"/>
          </w:tcPr>
          <w:p>
            <w:pPr>
              <w:spacing w:after="0"/>
              <w:rPr>
                <w:sz w:val="14"/>
                <w:szCs w:val="14"/>
                <w:color w:val="auto"/>
              </w:rPr>
            </w:pPr>
          </w:p>
        </w:tc>
        <w:tc>
          <w:tcPr>
            <w:tcW w:w="60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Treasuries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159,985</w:t>
            </w:r>
          </w:p>
        </w:tc>
        <w:tc>
          <w:tcPr>
            <w:tcW w:w="160" w:type="dxa"/>
            <w:vAlign w:val="bottom"/>
            <w:shd w:val="clear" w:color="auto" w:fill="CAEEFB"/>
          </w:tcPr>
          <w:p>
            <w:pPr>
              <w:spacing w:after="0"/>
              <w:rPr>
                <w:sz w:val="15"/>
                <w:szCs w:val="15"/>
                <w:color w:val="auto"/>
              </w:rPr>
            </w:pPr>
          </w:p>
        </w:tc>
        <w:tc>
          <w:tcPr>
            <w:tcW w:w="1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AEEFB"/>
          </w:tcPr>
          <w:p>
            <w:pPr>
              <w:jc w:val="right"/>
              <w:ind w:right="120"/>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159,733</w:t>
            </w:r>
          </w:p>
        </w:tc>
        <w:tc>
          <w:tcPr>
            <w:tcW w:w="8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AEEFB"/>
            </w:tcBorders>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center"/>
              <w:ind w:right="77"/>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tcPr>
          <w:p>
            <w:pPr>
              <w:jc w:val="center"/>
              <w:ind w:right="300"/>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Holding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Holding</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Borders>
              <w:top w:val="single" w:sz="8" w:color="auto"/>
            </w:tcBorders>
            <w:shd w:val="clear" w:color="auto" w:fill="CAEEFB"/>
          </w:tcPr>
          <w:p>
            <w:pPr>
              <w:spacing w:after="0"/>
              <w:rPr>
                <w:sz w:val="14"/>
                <w:szCs w:val="14"/>
                <w:color w:val="auto"/>
              </w:rPr>
            </w:pPr>
          </w:p>
        </w:tc>
        <w:tc>
          <w:tcPr>
            <w:tcW w:w="60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tcBorders>
              <w:top w:val="single" w:sz="8" w:color="auto"/>
            </w:tcBorders>
            <w:shd w:val="clear" w:color="auto" w:fill="CAEEFB"/>
          </w:tcPr>
          <w:p>
            <w:pPr>
              <w:spacing w:after="0"/>
              <w:rPr>
                <w:sz w:val="14"/>
                <w:szCs w:val="14"/>
                <w:color w:val="auto"/>
              </w:rPr>
            </w:pPr>
          </w:p>
        </w:tc>
        <w:tc>
          <w:tcPr>
            <w:tcW w:w="720" w:type="dxa"/>
            <w:vAlign w:val="bottom"/>
            <w:tcBorders>
              <w:top w:val="single" w:sz="8" w:color="auto"/>
            </w:tcBorders>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shd w:val="clear" w:color="auto" w:fill="CAEEFB"/>
          </w:tcPr>
          <w:p>
            <w:pPr>
              <w:spacing w:after="0"/>
              <w:rPr>
                <w:sz w:val="14"/>
                <w:szCs w:val="14"/>
                <w:color w:val="auto"/>
              </w:rPr>
            </w:pPr>
          </w:p>
        </w:tc>
        <w:tc>
          <w:tcPr>
            <w:tcW w:w="60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Treasuries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187,301</w:t>
            </w:r>
          </w:p>
        </w:tc>
        <w:tc>
          <w:tcPr>
            <w:tcW w:w="160" w:type="dxa"/>
            <w:vAlign w:val="bottom"/>
            <w:shd w:val="clear" w:color="auto" w:fill="CAEEFB"/>
          </w:tcPr>
          <w:p>
            <w:pPr>
              <w:spacing w:after="0"/>
              <w:rPr>
                <w:sz w:val="15"/>
                <w:szCs w:val="15"/>
                <w:color w:val="auto"/>
              </w:rPr>
            </w:pPr>
          </w:p>
        </w:tc>
        <w:tc>
          <w:tcPr>
            <w:tcW w:w="1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4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AEEFB"/>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8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AEEFB"/>
            </w:tcBorders>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-1042670</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-1029335</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-1042670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-1029335</wp:posOffset>
            </wp:positionV>
            <wp:extent cx="476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-1042670</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-1029335</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-1042670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-1029335</wp:posOffset>
            </wp:positionV>
            <wp:extent cx="476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-19685</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-6350</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-19685</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-6350</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-19685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-6350</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March 31, 2026, the Company’s investments were in net unrealized loss position of $0.3 million. These amounts are included in other comprehensive income (loss) in the condensed consolidated statements of operations and comprehensive loss. The Company determined that there was no material credit risk associated with its investments as of March 31, 2026. As of March 31, 2026, the Company’s investments had remaining maturities of two years or less.</w:t>
      </w:r>
    </w:p>
    <w:p>
      <w:pPr>
        <w:spacing w:after="0" w:line="140" w:lineRule="exact"/>
        <w:rPr>
          <w:sz w:val="20"/>
          <w:szCs w:val="20"/>
          <w:color w:val="auto"/>
        </w:rPr>
      </w:pPr>
    </w:p>
    <w:p>
      <w:pPr>
        <w:ind w:left="640" w:right="679" w:firstLine="516"/>
        <w:spacing w:after="0" w:line="263" w:lineRule="auto"/>
        <w:rPr>
          <w:sz w:val="20"/>
          <w:szCs w:val="20"/>
          <w:color w:val="auto"/>
        </w:rPr>
      </w:pPr>
      <w:r>
        <w:rPr>
          <w:rFonts w:ascii="Times New Roman" w:cs="Times New Roman" w:eastAsia="Times New Roman" w:hAnsi="Times New Roman"/>
          <w:sz w:val="14"/>
          <w:szCs w:val="14"/>
          <w:color w:val="auto"/>
        </w:rPr>
        <w:t>As of December 31, 2025, the Company’s investments were in net unrealized gain position of $0.3 million. These amounts are included in other comprehensive income (loss) in the condensed consolidated statements of operations and comprehensive loss. As of December 31, 2025, there were no investments in an unrealized loss position. The Company determined that there was no material credit risk associated with its investments as of December 31, 2025. As a result, the Company did not record any charges for credit-related impairments for its investments during the year ended December 31, 2025. As of December 31, 2025, the Company’s investments had remaining maturities of two years or less.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PROPERTY AND EQUIPMENT, NET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52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160" w:type="dxa"/>
            <w:vAlign w:val="bottom"/>
            <w:shd w:val="clear" w:color="auto" w:fill="CAEEFB"/>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shd w:val="clear" w:color="auto" w:fill="CAEEFB"/>
          </w:tcPr>
          <w:p>
            <w:pPr>
              <w:spacing w:after="0"/>
              <w:rPr>
                <w:sz w:val="14"/>
                <w:szCs w:val="14"/>
                <w:color w:val="auto"/>
              </w:rPr>
            </w:pPr>
          </w:p>
        </w:tc>
        <w:tc>
          <w:tcPr>
            <w:tcW w:w="2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shd w:val="clear" w:color="auto" w:fill="CAEEFB"/>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60" w:type="dxa"/>
            <w:vAlign w:val="bottom"/>
            <w:tcBorders>
              <w:bottom w:val="single" w:sz="8" w:color="auto"/>
            </w:tcBorders>
            <w:shd w:val="clear" w:color="auto" w:fill="CAEEFB"/>
          </w:tcPr>
          <w:p>
            <w:pPr>
              <w:spacing w:after="0"/>
              <w:rPr>
                <w:sz w:val="14"/>
                <w:szCs w:val="14"/>
                <w:color w:val="auto"/>
              </w:rPr>
            </w:pPr>
          </w:p>
        </w:tc>
        <w:tc>
          <w:tcPr>
            <w:tcW w:w="9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AEEFB"/>
            </w:tcBorders>
            <w:shd w:val="clear" w:color="auto" w:fill="CAEEFB"/>
          </w:tcPr>
          <w:p>
            <w:pPr>
              <w:spacing w:after="0"/>
              <w:rPr>
                <w:sz w:val="14"/>
                <w:szCs w:val="14"/>
                <w:color w:val="auto"/>
              </w:rPr>
            </w:pPr>
          </w:p>
        </w:tc>
        <w:tc>
          <w:tcPr>
            <w:tcW w:w="6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9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CAEEFB"/>
            </w:tcBorders>
            <w:shd w:val="clear" w:color="auto" w:fill="CAEEFB"/>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60" w:type="dxa"/>
            <w:vAlign w:val="bottom"/>
            <w:shd w:val="clear" w:color="auto" w:fill="CAEEFB"/>
          </w:tcPr>
          <w:p>
            <w:pPr>
              <w:spacing w:after="0"/>
              <w:rPr>
                <w:sz w:val="14"/>
                <w:szCs w:val="14"/>
                <w:color w:val="auto"/>
              </w:rPr>
            </w:pPr>
          </w:p>
        </w:tc>
        <w:tc>
          <w:tcPr>
            <w:tcW w:w="10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14"/>
                <w:szCs w:val="14"/>
                <w:color w:val="auto"/>
              </w:rPr>
              <w:t>(1,015)</w:t>
            </w:r>
          </w:p>
        </w:tc>
        <w:tc>
          <w:tcPr>
            <w:tcW w:w="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(989)</w:t>
            </w:r>
          </w:p>
        </w:tc>
      </w:tr>
      <w:tr>
        <w:trPr>
          <w:trHeight w:val="163"/>
        </w:trPr>
        <w:tc>
          <w:tcPr>
            <w:tcW w:w="20" w:type="dxa"/>
            <w:vAlign w:val="bottom"/>
          </w:tcPr>
          <w:p>
            <w:pPr>
              <w:spacing w:after="0"/>
              <w:rPr>
                <w:sz w:val="14"/>
                <w:szCs w:val="14"/>
                <w:color w:val="auto"/>
              </w:rPr>
            </w:pPr>
          </w:p>
        </w:tc>
        <w:tc>
          <w:tcPr>
            <w:tcW w:w="5240" w:type="dxa"/>
            <w:vAlign w:val="bottom"/>
            <w:tcBorders>
              <w:top w:val="single" w:sz="8" w:color="CAEEFB"/>
            </w:tcBorders>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top w:val="single" w:sz="8" w:color="CAEEFB"/>
            </w:tcBorders>
          </w:tcPr>
          <w:p>
            <w:pPr>
              <w:spacing w:after="0"/>
              <w:rPr>
                <w:sz w:val="14"/>
                <w:szCs w:val="14"/>
                <w:color w:val="auto"/>
              </w:rPr>
            </w:pPr>
          </w:p>
        </w:tc>
        <w:tc>
          <w:tcPr>
            <w:tcW w:w="60" w:type="dxa"/>
            <w:vAlign w:val="bottom"/>
            <w:tcBorders>
              <w:top w:val="single" w:sz="8" w:color="CAEEFB"/>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60" w:type="dxa"/>
            <w:vAlign w:val="bottom"/>
            <w:tcBorders>
              <w:top w:val="single" w:sz="8" w:color="CAEEFB"/>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-360680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-360680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-135890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-135890</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Depreciation expense was $26 thousand and $36 thousand for the three months ended March 31, 2026 and 2025,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color w:val="auto"/>
        </w:rPr>
        <w:t>7. ACCRUED EXPENSES AND OTHER CURRENT LIABILITIES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r>
      <w:tr>
        <w:trPr>
          <w:trHeight w:val="16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research and development expense</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60" w:type="dxa"/>
            <w:vAlign w:val="bottom"/>
            <w:shd w:val="clear" w:color="auto" w:fill="CFF0FC"/>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Accrued personnel and bonus expense</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60" w:type="dxa"/>
            <w:vAlign w:val="bottom"/>
          </w:tcPr>
          <w:p>
            <w:pPr>
              <w:spacing w:after="0"/>
              <w:rPr>
                <w:sz w:val="14"/>
                <w:szCs w:val="14"/>
                <w:color w:val="auto"/>
              </w:rPr>
            </w:pPr>
          </w:p>
        </w:tc>
      </w:tr>
      <w:tr>
        <w:trPr>
          <w:trHeight w:val="17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professional and legal fees</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shd w:val="clear" w:color="auto" w:fill="CFF0FC"/>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60" w:type="dxa"/>
            <w:vAlign w:val="bottom"/>
          </w:tcPr>
          <w:p>
            <w:pPr>
              <w:spacing w:after="0"/>
              <w:rPr>
                <w:sz w:val="14"/>
                <w:szCs w:val="14"/>
                <w:color w:val="auto"/>
              </w:rPr>
            </w:pPr>
          </w:p>
        </w:tc>
      </w:tr>
      <w:tr>
        <w:trPr>
          <w:trHeight w:val="20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-19685</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-6350</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-19685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-6350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LICENSE AND COLLABORATION AGREEMENT</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Monash License Agreement</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April 2024, PureTech Health exclusively assigned to the Company, and the Company assumed all rights and obligations under a license agreement between PureTech Health and Monash University entered into in August 2017, or the Original License Agreement. In March 2025, the Company entered into an amended and restated license agreement with Monash University, which amended and restated the Original License Agreement, or the Monash License Agreement.</w:t>
      </w:r>
    </w:p>
    <w:p>
      <w:pPr>
        <w:spacing w:after="0" w:line="14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46"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 xml:space="preserve">As consideration for the licenses granted by Monash University, the Company is required to pay Monash University: (i) </w:t>
      </w:r>
      <w:r>
        <w:rPr>
          <w:rFonts w:ascii="Times New Roman" w:cs="Times New Roman" w:eastAsia="Times New Roman" w:hAnsi="Times New Roman"/>
          <w:sz w:val="14"/>
          <w:szCs w:val="14"/>
          <w:color w:val="231F20"/>
        </w:rPr>
        <w:t>between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3% and 5% </w:t>
      </w:r>
      <w:r>
        <w:rPr>
          <w:rFonts w:ascii="Times New Roman" w:cs="Times New Roman" w:eastAsia="Times New Roman" w:hAnsi="Times New Roman"/>
          <w:sz w:val="14"/>
          <w:szCs w:val="14"/>
          <w:color w:val="000000"/>
        </w:rPr>
        <w:t>on net sales per calendar year (subject to certain reductions); (ii) a low-double digit percentage of any net income received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The Company is </w:t>
      </w:r>
      <w:r>
        <w:rPr>
          <w:rFonts w:ascii="Times New Roman" w:cs="Times New Roman" w:eastAsia="Times New Roman" w:hAnsi="Times New Roman"/>
          <w:sz w:val="14"/>
          <w:szCs w:val="14"/>
          <w:color w:val="231F20"/>
        </w:rPr>
        <w:t>also obligated to (a) pay all costs incurred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32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231F20"/>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6" w:name="page17"/>
    <w:bookmarkEnd w:id="16"/>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Prior to the formation of the Company, PureTech paid $0.2 million in development milestones under the Monash License Agreement. Since the formation of the Company, the Company paid $0.1 million in development milestones under the agreement. No milestones were paid by the Company under the Monash License Agreement during the three months ended March 31, 2026.</w:t>
      </w:r>
    </w:p>
    <w:p>
      <w:pPr>
        <w:spacing w:after="0" w:line="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Monash Collaboration Agreement and ARPA-H Award</w:t>
      </w:r>
    </w:p>
    <w:p>
      <w:pPr>
        <w:spacing w:after="0" w:line="185" w:lineRule="exact"/>
        <w:rPr>
          <w:sz w:val="20"/>
          <w:szCs w:val="20"/>
          <w:color w:val="auto"/>
        </w:rPr>
      </w:pPr>
    </w:p>
    <w:p>
      <w:pPr>
        <w:jc w:val="both"/>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In March 2026, the Advanced Research Projects Agency for Health (“ARPA-H”) granted the Company and Monash University an award for research under the Groundbreaking Lymphatic Interventions and Drug Exploration (“GLIDE”) program (the "Award Agreement"). The Award Agreement provides for total funding of up to $15.2 million, which includes committed funding of $3.5 million for the first phase of research under the award and uncommitted funding of up to $11.7 million for the second phase of the research plan under the award. The funding for the second phase is not currently committed and is subject to mutual agreement by the parties; if exercised, the parties will execute a contract modification at that time. The initial term of the Agreement is 48 months. The Agreement may be terminated by either party upon 60 days’ written notice, in which case the parties are required to negotiate in good faith to resolve any outstanding matters.</w:t>
      </w:r>
    </w:p>
    <w:p>
      <w:pPr>
        <w:spacing w:after="0" w:line="146" w:lineRule="exact"/>
        <w:rPr>
          <w:sz w:val="20"/>
          <w:szCs w:val="20"/>
          <w:color w:val="auto"/>
        </w:rPr>
      </w:pPr>
    </w:p>
    <w:p>
      <w:pPr>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Payments under the Award Agreement are fixed and are earned upon the achievement of defined milestones. As of March 31, 2026, no milestones have been earned under the Award Agreement. During the three months ended March 31, 2026, the Company recognized immaterial amounts under the Award Agreement as a reduction of research and development expense.</w:t>
      </w:r>
    </w:p>
    <w:p>
      <w:pPr>
        <w:spacing w:after="0" w:line="3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CONVERTIBLE PREFERRED STOCK</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Series A-1 and Series A-2 Preferred Stock</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w:t>
      </w:r>
      <w:r>
        <w:rPr>
          <w:rFonts w:ascii="Times New Roman" w:cs="Times New Roman" w:eastAsia="Times New Roman" w:hAnsi="Times New Roman"/>
          <w:sz w:val="14"/>
          <w:szCs w:val="14"/>
          <w:color w:val="231F20"/>
        </w:rPr>
        <w:t>—Nature of Business and Basis of Presentation,</w:t>
      </w:r>
      <w:r>
        <w:rPr>
          <w:rFonts w:ascii="Times New Roman" w:cs="Times New Roman" w:eastAsia="Times New Roman" w:hAnsi="Times New Roman"/>
          <w:sz w:val="14"/>
          <w:szCs w:val="14"/>
          <w:color w:val="auto"/>
        </w:rPr>
        <w:t xml:space="preserve"> for further disclosure of the Asset Transfer Agreement.</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7" w:name="page18"/>
    <w:bookmarkEnd w:id="17"/>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2026 and December 31, 2025, Preferred Stock consisted of the following (in thousands, except share and per share amounts):</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16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Issued and</w:t>
            </w:r>
          </w:p>
        </w:tc>
        <w:tc>
          <w:tcPr>
            <w:tcW w:w="1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Issuable Upon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8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1"/>
                <w:szCs w:val="11"/>
                <w:color w:val="auto"/>
              </w:rPr>
            </w:pPr>
          </w:p>
        </w:tc>
        <w:tc>
          <w:tcPr>
            <w:tcW w:w="820" w:type="dxa"/>
            <w:vAlign w:val="bottom"/>
            <w:tcBorders>
              <w:bottom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16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6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Series A-1 Preferred Stock</w:t>
            </w:r>
          </w:p>
        </w:tc>
        <w:tc>
          <w:tcPr>
            <w:tcW w:w="8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40,000,000</w:t>
            </w:r>
          </w:p>
        </w:tc>
        <w:tc>
          <w:tcPr>
            <w:tcW w:w="10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40,000,000</w:t>
            </w:r>
          </w:p>
        </w:tc>
        <w:tc>
          <w:tcPr>
            <w:tcW w:w="380" w:type="dxa"/>
            <w:vAlign w:val="bottom"/>
            <w:gridSpan w:val="2"/>
            <w:shd w:val="clear" w:color="auto" w:fill="CFF0FC"/>
          </w:tcPr>
          <w:p>
            <w:pPr>
              <w:jc w:val="right"/>
              <w:ind w:right="1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w:t>
            </w:r>
          </w:p>
        </w:tc>
        <w:tc>
          <w:tcPr>
            <w:tcW w:w="240" w:type="dxa"/>
            <w:vAlign w:val="bottom"/>
            <w:gridSpan w:val="2"/>
            <w:shd w:val="clear" w:color="auto" w:fill="CFF0FC"/>
          </w:tcPr>
          <w:p>
            <w:pPr>
              <w:ind w:left="1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0.32</w:t>
            </w:r>
          </w:p>
        </w:tc>
        <w:tc>
          <w:tcPr>
            <w:tcW w:w="10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12,736,014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Series A-2 Preferred Stock</w:t>
            </w: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26,342,102</w:t>
            </w:r>
          </w:p>
        </w:tc>
        <w:tc>
          <w:tcPr>
            <w:tcW w:w="10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26,342,102</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99,757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100,100</w:t>
            </w:r>
          </w:p>
        </w:tc>
        <w:tc>
          <w:tcPr>
            <w:tcW w:w="24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11.94</w:t>
            </w:r>
          </w:p>
        </w:tc>
        <w:tc>
          <w:tcPr>
            <w:tcW w:w="10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8,387,331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Borders>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Series B Preferred Stock</w:t>
            </w:r>
          </w:p>
        </w:tc>
        <w:tc>
          <w:tcPr>
            <w:tcW w:w="8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47,578,938</w:t>
            </w:r>
          </w:p>
        </w:tc>
        <w:tc>
          <w:tcPr>
            <w:tcW w:w="18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47,578,934</w:t>
            </w:r>
          </w:p>
        </w:tc>
        <w:tc>
          <w:tcPr>
            <w:tcW w:w="1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225,571</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226,000</w:t>
            </w:r>
          </w:p>
        </w:tc>
        <w:tc>
          <w:tcPr>
            <w:tcW w:w="240" w:type="dxa"/>
            <w:vAlign w:val="bottom"/>
            <w:tcBorders>
              <w:bottom w:val="single" w:sz="8" w:color="CFF0FC"/>
            </w:tcBorders>
            <w:gridSpan w:val="2"/>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14.92</w:t>
            </w:r>
          </w:p>
        </w:tc>
        <w:tc>
          <w:tcPr>
            <w:tcW w:w="1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15,149,130</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Total Preferred Stock</w:t>
            </w:r>
          </w:p>
        </w:tc>
        <w:tc>
          <w:tcPr>
            <w:tcW w:w="8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113,921,040</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113,921,036</w:t>
            </w:r>
          </w:p>
        </w:tc>
        <w:tc>
          <w:tcPr>
            <w:tcW w:w="380" w:type="dxa"/>
            <w:vAlign w:val="bottom"/>
            <w:gridSpan w:val="2"/>
          </w:tcPr>
          <w:p>
            <w:pPr>
              <w:jc w:val="right"/>
              <w:ind w:right="1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325,328</w:t>
            </w:r>
          </w:p>
        </w:tc>
        <w:tc>
          <w:tcPr>
            <w:tcW w:w="22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330,100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36,272,475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-101600</wp:posOffset>
            </wp:positionV>
            <wp:extent cx="546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-101600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-101600</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-101600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of March 31, 2026, the holders of the Preferred Stock have the following rights and preferences: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would convert on the record date for determination of shareholders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holders of the Preferred Stock are entitled to participate in any dividends payable to common stockholders on an as converted basis and have priority over the payment of dividends to holders of common stock.</w:t>
      </w:r>
    </w:p>
    <w:p>
      <w:pPr>
        <w:spacing w:after="0" w:line="12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 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01"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$3.80. In July 2025, the Company satisfied the applicable condition, thereby eliminating the conversion price reduction contingency.</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Each outstanding share of Preferred Stock shall automatically be converted into fully-paid, non-assessable shares of common stock upon the earliest to occur of (i) the consummation of a qualified initial public offering at a public offering price of at least $5.70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8" w:name="page19"/>
    <w:bookmarkEnd w:id="18"/>
    <w:p>
      <w:pPr>
        <w:jc w:val="both"/>
        <w:ind w:left="640" w:right="659"/>
        <w:spacing w:after="0" w:line="274" w:lineRule="auto"/>
        <w:rPr>
          <w:sz w:val="20"/>
          <w:szCs w:val="20"/>
          <w:color w:val="auto"/>
        </w:rPr>
      </w:pPr>
      <w:r>
        <w:rPr>
          <w:rFonts w:ascii="Times New Roman" w:cs="Times New Roman" w:eastAsia="Times New Roman" w:hAnsi="Times New Roman"/>
          <w:sz w:val="14"/>
          <w:szCs w:val="14"/>
          <w:color w:val="auto"/>
        </w:rPr>
        <w:t>voting together as a single class on an as-converted basis, or the Requisite Holders, and the holders of at least 65% of the then-outstanding shares of Series B Preferred Stock, or the Series B Majority. All outstanding convertible preferred stock was converted into common stock immediately prior to the closing of the Company’s IPO.</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Preferred Stock does not have any redemption rights, except for the contingent redemption upon the occurrence of a Deemed Liquidation Event.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 The holders of common stock are entitled to receive dividends, if any, as declared by the Company’s board of directors, subject to the preferential dividend rights of Preferred Stock. As of March 31, 2026, no dividends have been declared or paid.</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the Company had authorized 159,070,000 shares of common stock, of which 2,595,342 were issued and outstanding, including 121,612 unvested shares of restricted common stock that are subject to service-based vesting as of March 31,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2024 Equity Incentive Plan</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2024 Equity Incentive Plan, or the 2024 Plan, was approved by the Company’s subsidiary’s Board and Stockholders and became effective for the Company in April 2024 and was subsequently amended in April 2024 and October 2024.</w:t>
      </w:r>
    </w:p>
    <w:p>
      <w:pPr>
        <w:spacing w:after="0" w:line="12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Under the 2024 Plan, the Company can issue incentive stock options, stock appreciation rights, restricted stock, restricted stock units, and other stock-based awards to employees, directors, and consultants of the Company. The 2024 Plan is administered by the Company’s Board of Directors, or by a committee at the discretion of the Board of Directors. The exercise prices, vesting, and other restrictions are determined at the discretion of the Board of Directors, or its committee if so delegated, except that exercise prices of each stock option shall not be less than 100% of the fair market value of the Company’s common stock and that each stock option term cannot exceed 10 years. The Company’s Board of Directors determines the fair market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9" w:name="page20"/>
    <w:bookmarkEnd w:id="19"/>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 xml:space="preserve">A total of 3,184,003 shares of common stock were initially reserved for issuance under the 2024 Plan, and it was subsequently amended to allow for the issuance of up to 12,292,486 shares of common stock. As of March 31, 2026, there were 866,126 awards available for future grants under the 2024 Plan. Shares of common stock underlying any awards that are forfeited, canceled, or reacquired by the Company prior to vesting will again be available for the grant of awards under the 2024 Plan. Through the completion of its IPO, the Company granted additional equity awards to certain individuals to maintain in total a 12.5% ownership on a fully diluted basis as specified by underlying agreements. See Note </w:t>
      </w:r>
      <w:r>
        <w:rPr>
          <w:rFonts w:ascii="Times New Roman" w:cs="Times New Roman" w:eastAsia="Times New Roman" w:hAnsi="Times New Roman"/>
          <w:sz w:val="14"/>
          <w:szCs w:val="14"/>
          <w:color w:val="231F20"/>
        </w:rPr>
        <w:t>18—Subsequent Events, for further disclosure related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equity grants associated with the IPO.</w:t>
      </w:r>
    </w:p>
    <w:p>
      <w:pPr>
        <w:spacing w:after="0" w:line="316"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The vesting periods for stock options issued under the 2024 Plan generally vest over four years with a one-year cliff and equal monthly installments thereafter and may be subject to accelerated vesting. Performance-based options vest in three annual installments that are contingent upon the achievement of the Company’s annual goals. For restricted stock awards, the vesting periods can vary and may contain accelerated vesting that would result in unvested shares becoming fully vested upon the occurrence of certain events.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Plan Stock Option Activity</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is a summary of the Company’s stock option award activity under the 2024 Plan during the three months ended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March 31, 2026:</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tcPr>
          <w:p>
            <w:pPr>
              <w:jc w:val="right"/>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100" w:type="dxa"/>
            <w:vAlign w:val="bottom"/>
          </w:tcPr>
          <w:p>
            <w:pPr>
              <w:spacing w:after="0"/>
              <w:rPr>
                <w:sz w:val="10"/>
                <w:szCs w:val="10"/>
                <w:color w:val="auto"/>
              </w:rPr>
            </w:pPr>
          </w:p>
        </w:tc>
        <w:tc>
          <w:tcPr>
            <w:tcW w:w="7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8,569,619</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(289,028)</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9,319,500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Vested and expected to vest at March 31, 2026</w:t>
            </w: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9,319,500</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5.30</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8.43</w:t>
            </w:r>
          </w:p>
        </w:tc>
        <w:tc>
          <w:tcPr>
            <w:tcW w:w="280" w:type="dxa"/>
            <w:vAlign w:val="bottom"/>
            <w:gridSpan w:val="2"/>
            <w:shd w:val="clear" w:color="auto" w:fill="CFF0FC"/>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47,390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Exercisable at March 31, 2026</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5,688,843</w:t>
            </w:r>
          </w:p>
        </w:tc>
        <w:tc>
          <w:tcPr>
            <w:tcW w:w="16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8.01</w:t>
            </w:r>
          </w:p>
        </w:tc>
        <w:tc>
          <w:tcPr>
            <w:tcW w:w="28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33,744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-394970</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-394970</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-394970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-394970</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-149225</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-135890</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-149225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-135890</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-149225</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-135890</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table above excludes 152,515 of the 228,771 performance-based options which have an exercise price of $7.39 per share, that were approved to be issued by the Company’s Board of Directors in December 2024, but have not yet been deemed granted from an accounting perspective as of March 31, 2026. During the three months ended March 31, 2026, 76,256 of these performance-based options were determined to be granted from an accounting perspective and the company recorded stock compensation expense of $0.6 million.</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utilized the Black-Scholes option-pricing model for estimating the fair value of the stock options issued under the 2024 Plan on each grant date. The following table presents the ranges of assumptions used by the Company in the Black-Scholes option-pricing model during the three months ended March 31, 2026 and 2025:</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40" w:type="dxa"/>
            <w:vAlign w:val="bottom"/>
            <w:tcBorders>
              <w:bottom w:val="single" w:sz="8" w:color="auto"/>
            </w:tcBorders>
          </w:tcPr>
          <w:p>
            <w:pPr>
              <w:spacing w:after="0"/>
              <w:rPr>
                <w:sz w:val="11"/>
                <w:szCs w:val="11"/>
                <w:color w:val="auto"/>
              </w:rPr>
            </w:pPr>
          </w:p>
        </w:tc>
      </w:tr>
      <w:tr>
        <w:trPr>
          <w:trHeight w:val="152"/>
        </w:trPr>
        <w:tc>
          <w:tcPr>
            <w:tcW w:w="5280" w:type="dxa"/>
            <w:vAlign w:val="bottom"/>
          </w:tcPr>
          <w:p>
            <w:pPr>
              <w:spacing w:after="0"/>
              <w:rPr>
                <w:sz w:val="13"/>
                <w:szCs w:val="13"/>
                <w:color w:val="auto"/>
              </w:rPr>
            </w:pPr>
          </w:p>
        </w:tc>
        <w:tc>
          <w:tcPr>
            <w:tcW w:w="1160" w:type="dxa"/>
            <w:vAlign w:val="bottom"/>
            <w:gridSpan w:val="2"/>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300" w:type="dxa"/>
            <w:vAlign w:val="bottom"/>
            <w:gridSpan w:val="3"/>
          </w:tcPr>
          <w:p>
            <w:pPr>
              <w:jc w:val="right"/>
              <w:ind w:right="408"/>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16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5.50 - 6.11 years</w:t>
            </w:r>
          </w:p>
        </w:tc>
        <w:tc>
          <w:tcPr>
            <w:tcW w:w="140" w:type="dxa"/>
            <w:vAlign w:val="bottom"/>
            <w:shd w:val="clear" w:color="auto" w:fill="CFF0FC"/>
          </w:tcPr>
          <w:p>
            <w:pPr>
              <w:spacing w:after="0"/>
              <w:rPr>
                <w:sz w:val="14"/>
                <w:szCs w:val="14"/>
                <w:color w:val="auto"/>
              </w:rPr>
            </w:pPr>
          </w:p>
        </w:tc>
        <w:tc>
          <w:tcPr>
            <w:tcW w:w="1160" w:type="dxa"/>
            <w:vAlign w:val="bottom"/>
            <w:tcBorders>
              <w:top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5.85 - 6.08 years</w:t>
            </w: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- 4.39%</w:t>
            </w: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Volatility</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93.71%</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- 94.23%</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- 91.63%</w:t>
            </w: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16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color w:val="auto"/>
              </w:rPr>
              <w:t>0.00%</w:t>
            </w:r>
          </w:p>
        </w:tc>
        <w:tc>
          <w:tcPr>
            <w:tcW w:w="13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color w:val="auto"/>
              </w:rPr>
              <w:t>0.00%</w:t>
            </w:r>
          </w:p>
        </w:tc>
      </w:tr>
    </w:tbl>
    <w:p>
      <w:pPr>
        <w:spacing w:after="0" w:line="143"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during the three months ended March 31, 2026 and 2025 was $9.18 and $5.65 per share, respectively. The aggregate intrinsic value is calculated as the difference between the exercise price and the fair value of the Company’s common stock as of each period end or exercise date. There were no stock options exercised during the three months ended March 31, 2026 and 2025.</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there was $22.4 million in unrecognized stock-based compensation expense associated with issued and outstanding service-based stock options, which is expected to be recognized over a weighted-average period of 1.3 years and is partially subject to future accelerated vesting upon the close of an initial public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i w:val="1"/>
          <w:iCs w:val="1"/>
          <w:color w:val="auto"/>
        </w:rPr>
        <w:t>2024 Plan Restricted Stock Awards</w:t>
      </w:r>
    </w:p>
    <w:p>
      <w:pPr>
        <w:spacing w:after="0" w:line="18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 xml:space="preserve">The Company has granted restricted stock awards to certain members of the Company’s Board of Directors and Chief Executive Officer. Of the total 1,990,001 restricted stock awards granted: (i) 796,000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1,194,001 have performance based vesting which vested in full upon the close of the Series B Financing. The company completed an IPO in May 2026, see Note </w:t>
      </w:r>
      <w:r>
        <w:rPr>
          <w:rFonts w:ascii="Times New Roman" w:cs="Times New Roman" w:eastAsia="Times New Roman" w:hAnsi="Times New Roman"/>
          <w:sz w:val="14"/>
          <w:szCs w:val="14"/>
          <w:color w:val="231F20"/>
        </w:rPr>
        <w:t>18—Subsequent Events, for further disclosure related to the equity awards that vested upon the IPO.</w:t>
      </w:r>
    </w:p>
    <w:p>
      <w:pPr>
        <w:spacing w:after="0" w:line="33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is a summary of the Company’s restricted stock award activity under the 2024 Plan during the three months ended March 31, 2026:</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of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154,778</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(33,166)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at March 31, 2026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121,612</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No restricted stock awards were granted during the three months ended March 31, 2026 and 2025. The total fair value of the restricted stock awards that vested during the three months ended March 31, 2026 and 2025 was $0.1 million and $0.1 million, respectively, and the total stock-based compensation associated with the restricted stock awards during the three months ended March 31, 2026 and 2025 was $0.1 million and $0.1 million, respectively. As of March 31, 2026, there was $0.4 million in unrecognized stock-based compensation expense associated with issued and outstanding restricted stock awards, which is expected to be recognized over a weighted-average period of 0.5 years.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represents stock-based compensation expense recorded in the Company’s condensed consolidated statements of operations and comprehensive loss (in thousands):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2"/>
        </w:trPr>
        <w:tc>
          <w:tcPr>
            <w:tcW w:w="5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4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99" w:lineRule="exact"/>
        <w:rPr>
          <w:sz w:val="20"/>
          <w:szCs w:val="20"/>
          <w:color w:val="auto"/>
        </w:rPr>
      </w:pPr>
    </w:p>
    <w:p>
      <w:pPr>
        <w:ind w:left="640" w:right="1039" w:firstLine="516"/>
        <w:spacing w:after="0" w:line="268" w:lineRule="auto"/>
        <w:rPr>
          <w:sz w:val="20"/>
          <w:szCs w:val="20"/>
          <w:color w:val="auto"/>
        </w:rPr>
      </w:pPr>
      <w:r>
        <w:rPr>
          <w:rFonts w:ascii="Times New Roman" w:cs="Times New Roman" w:eastAsia="Times New Roman" w:hAnsi="Times New Roman"/>
          <w:sz w:val="14"/>
          <w:szCs w:val="14"/>
          <w:color w:val="auto"/>
        </w:rPr>
        <w:t>The Company's effective tax rates were (2.1)% and (0.2)% for the three months ended March 31, 2026 and 2025, respectively. The effective tax rate in 2026 differs from 2025 primarily due to additional tax expense recorded in Australia. The income tax provision and effective tax rate are driven primarily by a valuation allowance in the United States, partially offset by income tax in Australia.</w:t>
      </w:r>
    </w:p>
    <w:p>
      <w:pPr>
        <w:spacing w:after="0" w:line="140" w:lineRule="exact"/>
        <w:rPr>
          <w:sz w:val="20"/>
          <w:szCs w:val="20"/>
          <w:color w:val="auto"/>
        </w:rPr>
      </w:pPr>
    </w:p>
    <w:p>
      <w:pPr>
        <w:ind w:left="640" w:right="779" w:firstLine="516"/>
        <w:spacing w:after="0" w:line="292" w:lineRule="auto"/>
        <w:rPr>
          <w:sz w:val="20"/>
          <w:szCs w:val="20"/>
          <w:color w:val="auto"/>
        </w:rPr>
      </w:pPr>
      <w:r>
        <w:rPr>
          <w:rFonts w:ascii="Times New Roman" w:cs="Times New Roman" w:eastAsia="Times New Roman" w:hAnsi="Times New Roman"/>
          <w:sz w:val="14"/>
          <w:szCs w:val="14"/>
          <w:color w:val="auto"/>
        </w:rPr>
        <w:t>The Company maintains a valuation allowance on the majority of its deferred tax assets, and it has concluded that it is more likely than not that the deferred assets will not be utilized.</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LEASES</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condensed consolidated balance sheets as of March 31, 2026 and December 31, 2025.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1" w:name="page22"/>
    <w:bookmarkEnd w:id="21"/>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December 2024, the Company entered into a laboratory lease agreement with a third party for lab space located in Boston, Massachusetts. The lease commenced in January 2025 and is for an initial term of 24 months from the commencement date. In March 2026, the Company exercised its option to extend the lease for an additional 12 months. The modification resulted in an increase to the operating lease right of use asset and lease liability of $0.6 million.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01"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License and Other Agreements</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 xml:space="preserve">The Company is obligated to make fixed and contingent payments under the Asset Transfer Agreement and Monash License Agreement, </w:t>
      </w:r>
      <w:r>
        <w:rPr>
          <w:rFonts w:ascii="Times New Roman" w:cs="Times New Roman" w:eastAsia="Times New Roman" w:hAnsi="Times New Roman"/>
          <w:sz w:val="14"/>
          <w:szCs w:val="14"/>
          <w:color w:val="231F20"/>
        </w:rPr>
        <w:t>See Note 8—Monash License Agreement, for further disclosure of the Monash license agreement.</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Asset Transfer and Series A Financing</w:t>
      </w:r>
    </w:p>
    <w:p>
      <w:pPr>
        <w:spacing w:after="0" w:line="173" w:lineRule="exact"/>
        <w:rPr>
          <w:sz w:val="20"/>
          <w:szCs w:val="20"/>
          <w:color w:val="auto"/>
        </w:rPr>
      </w:pPr>
    </w:p>
    <w:p>
      <w:pPr>
        <w:ind w:left="640" w:right="719" w:firstLine="516"/>
        <w:spacing w:after="0" w:line="258" w:lineRule="auto"/>
        <w:rPr>
          <w:sz w:val="20"/>
          <w:szCs w:val="20"/>
          <w:color w:val="auto"/>
        </w:rPr>
      </w:pPr>
      <w:r>
        <w:rPr>
          <w:rFonts w:ascii="Times New Roman" w:cs="Times New Roman" w:eastAsia="Times New Roman" w:hAnsi="Times New Roman"/>
          <w:sz w:val="14"/>
          <w:szCs w:val="14"/>
          <w:color w:val="auto"/>
        </w:rPr>
        <w:t>On April 8, 2024, or the Asset Transfer Date, the Company entered into an asset transfer agreement, as amended in December 2025, or the Asset Transfer Agreement with PureTech Health LLC, or PureTech Health, and PureTech LYT, pursuant to which PureTech Health and PureTech LYT, agreed to contribute, convey, assign, transfer, and deliver to the Company all of its right, title, and interest in, to and under the assets related to its Glyph technology and products, or the Asset Transfer. As consideration, the Company issued to PureTech LYT 40,000,000 shares of its Series A-1 convertible preferred stock and 302,161 shares of its common stock on the Asset Transfer Date, and also agreed to contingent payments to PureTech upon successful development and commercialization of products developed using the Glyph platform, each of which is referred to as a Seaport Glyph Product, including;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sales in the United States, $2.0 million for the first commercial sale in a major European market, and $2.0 million for the first commercial sale in Japan, and for each subsequent Seaport Glyph Product, the Company has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the Company is obligated to pay royalties between 3% and 5% on the annual net sales of each Seaport Glyph Product as follows: less than $500 million: 3%; $500 million to $1 billion: 3.5%; $1 billion to $2.5 billion: 4%; $2.5 billion to $3.5 billion: 4.5%; $3.5 billion or greater: 5% and a percentage of net income generated by the Company from third parties on any products licensed under the Glyph intellectual property which was transferred as part of the Asset Transfer Agreement.</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Guarantees and Indemnification</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members of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March 31, 2026 and December 31, 2025 and for the three months ended March 31, 2026 and 2025.</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See Note 13</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Leases, for information related to the Company’s lease obligations.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SEGMENTS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has one operating and reportable segment focused on inventing and developing novel medicines for patients with depression, anxiety, and other debilitating neuropsychiatric disorders using the Company's proprietary Glyph™ Platform.</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chief operating decision-maker, or CODM, manages the Company’s operations on a consolidated basis, and assesses performance based on consolidated net loss that is reported on the condensed consolidated statements of operations and comprehensive loss. The CODM makes decisions about allocating resources and assessing performance for the entire company. The measure of segment assets is reported on the condensed consolidated balance sheet as total consolidated assets.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table presents certain significant segment expenses that are regularly provided to the CODM (in thousands):</w:t>
      </w: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6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GlyphAllo direct research and development expenses</w:t>
            </w: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200" w:type="dxa"/>
            <w:vAlign w:val="bottom"/>
          </w:tcPr>
          <w:p>
            <w:pPr>
              <w:spacing w:after="0"/>
              <w:rPr>
                <w:sz w:val="14"/>
                <w:szCs w:val="14"/>
                <w:color w:val="auto"/>
              </w:rPr>
            </w:pP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GlyphAgo direct research and development expenses</w:t>
            </w:r>
          </w:p>
        </w:tc>
        <w:tc>
          <w:tcPr>
            <w:tcW w:w="6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Glyph2BLSD direct research and development expenses</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Preclinical and early discovery assets</w:t>
            </w:r>
          </w:p>
        </w:tc>
        <w:tc>
          <w:tcPr>
            <w:tcW w:w="6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Personnel-related (including stock-based compensation expense of</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$0.9 million and $0.5 million for three months ended March 31, 2026</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2025, respectively)</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indirect research and development expenses</w:t>
            </w:r>
          </w:p>
        </w:tc>
        <w:tc>
          <w:tcPr>
            <w:tcW w:w="6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21,431</w:t>
            </w: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10,534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6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Personnel-related (including stock-based compensation expense of</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$1.7 million and $1.1 million for three months ended March 31, 2026</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and 2025, respectively)</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40"/>
              <w:spacing w:after="0" w:line="214" w:lineRule="exact"/>
              <w:rPr>
                <w:sz w:val="20"/>
                <w:szCs w:val="20"/>
                <w:color w:val="auto"/>
              </w:rPr>
            </w:pPr>
            <w:r>
              <w:rPr>
                <w:rFonts w:ascii="Times New Roman" w:cs="Times New Roman" w:eastAsia="Times New Roman" w:hAnsi="Times New Roman"/>
                <w:sz w:val="14"/>
                <w:szCs w:val="14"/>
                <w:color w:val="auto"/>
              </w:rPr>
              <w:t>Other general and administrative expenses</w:t>
            </w:r>
            <w:r>
              <w:rPr>
                <w:rFonts w:ascii="Times New Roman" w:cs="Times New Roman" w:eastAsia="Times New Roman" w:hAnsi="Times New Roman"/>
                <w:sz w:val="19"/>
                <w:szCs w:val="19"/>
                <w:color w:val="auto"/>
                <w:vertAlign w:val="superscript"/>
              </w:rPr>
              <w:t>(1)</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66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6,112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5,651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260" w:type="dxa"/>
            <w:vAlign w:val="bottom"/>
            <w:vMerge w:val="restart"/>
          </w:tcPr>
          <w:p>
            <w:pPr>
              <w:spacing w:after="0" w:line="214"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9"/>
                <w:szCs w:val="19"/>
                <w:color w:val="auto"/>
                <w:vertAlign w:val="superscript"/>
              </w:rPr>
              <w:t>(2)</w:t>
            </w: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(2,135)</w:t>
            </w:r>
          </w:p>
        </w:tc>
        <w:tc>
          <w:tcPr>
            <w:tcW w:w="200" w:type="dxa"/>
            <w:vAlign w:val="bottom"/>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(3,060)</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13,125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-1035685</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-1035685</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-476885</wp:posOffset>
            </wp:positionV>
            <wp:extent cx="4909820" cy="1162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09820" cy="11620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-245110</wp:posOffset>
            </wp:positionV>
            <wp:extent cx="4909820" cy="1162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09820" cy="116205"/>
                    </a:xfrm>
                    <a:prstGeom prst="rect">
                      <a:avLst/>
                    </a:prstGeom>
                    <a:noFill/>
                  </pic:spPr>
                </pic:pic>
              </a:graphicData>
            </a:graphic>
          </wp:anchor>
        </w:drawing>
      </w:r>
    </w:p>
    <w:p>
      <w:pPr>
        <w:spacing w:after="0" w:line="104" w:lineRule="exact"/>
        <w:rPr>
          <w:sz w:val="20"/>
          <w:szCs w:val="20"/>
          <w:color w:val="auto"/>
        </w:rPr>
      </w:pPr>
    </w:p>
    <w:p>
      <w:pPr>
        <w:ind w:left="980" w:hanging="342"/>
        <w:spacing w:after="0"/>
        <w:tabs>
          <w:tab w:leader="none" w:pos="9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general and administrative expenses include professional fees, facilities, depreciation, IT, and other expenses.</w:t>
      </w:r>
    </w:p>
    <w:p>
      <w:pPr>
        <w:spacing w:after="0" w:line="2" w:lineRule="exact"/>
        <w:rPr>
          <w:rFonts w:ascii="Times New Roman" w:cs="Times New Roman" w:eastAsia="Times New Roman" w:hAnsi="Times New Roman"/>
          <w:sz w:val="19"/>
          <w:szCs w:val="19"/>
          <w:color w:val="auto"/>
          <w:vertAlign w:val="superscript"/>
        </w:rPr>
      </w:pPr>
    </w:p>
    <w:p>
      <w:pPr>
        <w:ind w:left="980" w:right="679" w:hanging="342"/>
        <w:spacing w:after="0" w:line="215" w:lineRule="auto"/>
        <w:tabs>
          <w:tab w:leader="none" w:pos="9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include interest income, net, research and development tax credit, income tax provision, and other expense, net.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NET LOSS PER SHARE</w:t>
      </w:r>
    </w:p>
    <w:p>
      <w:pPr>
        <w:spacing w:after="0" w:line="18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three months ended March 31, 2026 and 2025, presented since the effects of any potentially dilutive securities, would be antidilutive given the net loss of the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4"/>
          <w:szCs w:val="14"/>
          <w:color w:val="auto"/>
        </w:rPr>
        <w:t>Basic and diluted net loss per share is calculated as follows (in thousands except share and per share amounts):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(25,408)</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(10.34)</w:t>
            </w:r>
          </w:p>
        </w:tc>
        <w:tc>
          <w:tcPr>
            <w:tcW w:w="3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Weighted-average shares outstanding, basic and diluted</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2,456,766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2,323,724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-258445</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-245110</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-258445</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-245110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For accounting purposes, the computation of basic and diluted weighted-average common shares outstanding for the three months ended March 31, 2026 and 2025, excludes all shares of unvested restricted common stock as such shares are not considered outstanding. See Note 11—Stock-Based Compensation, for more information.</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outstanding potentially dilutive securities have been excluded from the calculation of diluted net loss per share attributable to common stockholders, as their effect is antidilutive:</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280" w:type="dxa"/>
            <w:vAlign w:val="bottom"/>
          </w:tcPr>
          <w:p>
            <w:pPr>
              <w:spacing w:after="0"/>
              <w:rPr>
                <w:sz w:val="11"/>
                <w:szCs w:val="11"/>
                <w:color w:val="auto"/>
              </w:rPr>
            </w:pPr>
          </w:p>
        </w:tc>
        <w:tc>
          <w:tcPr>
            <w:tcW w:w="246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2"/>
        </w:trPr>
        <w:tc>
          <w:tcPr>
            <w:tcW w:w="52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r>
      <w:tr>
        <w:trPr>
          <w:trHeight w:val="163"/>
        </w:trPr>
        <w:tc>
          <w:tcPr>
            <w:tcW w:w="52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 xml:space="preserve">Stock options to purchase common stock </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9,319,500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8,304,263</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254,278</w:t>
            </w:r>
          </w:p>
        </w:tc>
        <w:tc>
          <w:tcPr>
            <w:tcW w:w="80" w:type="dxa"/>
            <w:vAlign w:val="bottom"/>
          </w:tcPr>
          <w:p>
            <w:pPr>
              <w:spacing w:after="0"/>
              <w:rPr>
                <w:sz w:val="14"/>
                <w:szCs w:val="14"/>
                <w:color w:val="auto"/>
              </w:rPr>
            </w:pP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A-1 Preferred Stock (as converted to common stock)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12,736,014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12,736,014</w:t>
            </w:r>
          </w:p>
        </w:tc>
        <w:tc>
          <w:tcPr>
            <w:tcW w:w="80" w:type="dxa"/>
            <w:vAlign w:val="bottom"/>
            <w:shd w:val="clear" w:color="auto" w:fill="CFF0FC"/>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Series A-2 Preferred Stock (as converted to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8,387,331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8,387,331</w:t>
            </w:r>
          </w:p>
        </w:tc>
        <w:tc>
          <w:tcPr>
            <w:tcW w:w="80" w:type="dxa"/>
            <w:vAlign w:val="bottom"/>
          </w:tcPr>
          <w:p>
            <w:pPr>
              <w:spacing w:after="0"/>
              <w:rPr>
                <w:sz w:val="14"/>
                <w:szCs w:val="14"/>
                <w:color w:val="auto"/>
              </w:rPr>
            </w:pPr>
          </w:p>
        </w:tc>
      </w:tr>
      <w:tr>
        <w:trPr>
          <w:trHeight w:val="172"/>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Preferred Stock (as converted to common stock)</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15,149,130</w:t>
            </w:r>
          </w:p>
        </w:tc>
        <w:tc>
          <w:tcPr>
            <w:tcW w:w="16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15,149,130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36,272,475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36,272,475</w:t>
            </w:r>
          </w:p>
        </w:tc>
        <w:tc>
          <w:tcPr>
            <w:tcW w:w="80" w:type="dxa"/>
            <w:vAlign w:val="bottom"/>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80" w:right="659" w:hanging="342"/>
        <w:spacing w:after="0" w:line="226" w:lineRule="auto"/>
        <w:tabs>
          <w:tab w:leader="none" w:pos="9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table above excludes the performance-based options that have not been deemed granted from an accounting perspective. See Note 11—Stock-Based Compensation, for more information.</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17. RELATED PARTIES</w:t>
      </w:r>
    </w:p>
    <w:p>
      <w:pPr>
        <w:spacing w:after="0" w:line="185"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2026, the Company incurred immaterial expenses from PureTech under the TSA related to general and administrative expenses. During the three months ended March 31, 2025, the Company incurred $0.2 million of expenses from PureTech under the TSA, primarily related to research and development expenses.</w:t>
      </w:r>
    </w:p>
    <w:p>
      <w:pPr>
        <w:spacing w:after="0" w:line="392" w:lineRule="exact"/>
        <w:rPr>
          <w:sz w:val="20"/>
          <w:szCs w:val="20"/>
          <w:color w:val="auto"/>
        </w:rPr>
      </w:pPr>
    </w:p>
    <w:p>
      <w:pPr>
        <w:ind w:left="1000" w:right="6599" w:hanging="362"/>
        <w:spacing w:after="0" w:line="385" w:lineRule="auto"/>
        <w:tabs>
          <w:tab w:leader="none" w:pos="8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SUBSEQUENT EVENTS </w:t>
      </w:r>
      <w:r>
        <w:rPr>
          <w:rFonts w:ascii="Times New Roman" w:cs="Times New Roman" w:eastAsia="Times New Roman" w:hAnsi="Times New Roman"/>
          <w:sz w:val="14"/>
          <w:szCs w:val="14"/>
          <w:b w:val="1"/>
          <w:bCs w:val="1"/>
          <w:i w:val="1"/>
          <w:iCs w:val="1"/>
          <w:color w:val="auto"/>
        </w:rPr>
        <w:t>2026 Equity Plans</w:t>
      </w:r>
    </w:p>
    <w:p>
      <w:pPr>
        <w:spacing w:after="0" w:line="1"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January 2026, the Board and the Company's stockholders adopted and approved the 2026 Equity Incentive Plan (the "2026 Plan"), which became effective on May 2, 2026, the date immediately preceding the date that the registration statement on Form S-1 for the Company's IPO was declared effective by the SEC. The 2026 Plan initially reserved 6,020,000 shares of common stock for future issuances and is subject to automatic increases in the number of shares of common stock reserved for future issuances in accordance with the evergreen provisions in the 2026 Plan. The shares reserved for future issuance under the 2024 Plan ceased to be available for issuance at the time the 2026 Plan became effective. Any shares underlying outstanding stock awards granted under the 2024 Plan that subsequently expire or are repurchased, forfeited, cancelled, or withheld will return to the 2026 Plan and be reserved and available for issuance. On the effective date of the registration statement, the Company granted certain executive officers and directors an aggregate of 3,172,781 options to purchase shares under the 2026 Plan with an exercise price equal to $18.00, subject to continued service through such grant date. Based on the fair value of $18.00 per share, the company estimates that the aggregate grant-date fair value of the shares that were granted in connection with the IPO is approximately $41.8 million, which is expected to be recognized as stock-based compensation expense over a period of immediate vesting to four years.</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May 2026, the Board and the Company's stockholders adopted and approved the 2026 Employee Stock Purchase Plan (the "2026 ESPP"), which became effective on May 2, 2026, the date immediately preceding the date that the registration statement on Form S-1 for the Company's IPO was declared effective by the SEC. The 2026 ESPP initially reserved 510,000 shares of common stock for future issuance and is subject to automatic increases in the number of shares of common stock reserved for future issuances in accordance with the evergreen provisions in the 2026 ESPP.</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7"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and our audited consolidated financial statements and related notes included in our final prospectus for our initial public offering ("IPO") filed with the SEC pursuant to Rule 424(b)(4) under the Securities Act of 1933, as amended (the “Securities Act”) on May 1, 2026 (the “IPO Prospectus”). References to the "Company," “Seaport,” "Seaport Therapeutics," “we,” “our,” “us,” or similar terms refer to Seaport Therapeutics, Inc. and its wholly owned subsidiaries, or either or all of them as the context may require. This discussion and analysis and other parts of this Quarterly Report on Form 10-Q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on Form 10-Q. You should carefully read the sections entitled “Risk Factors” and “Special Note Regarding Forward-Looking Statements” to gain an understanding of the important factors that could cause actual results to differ materially from our forward-looking statements.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w:t>
      </w:r>
    </w:p>
    <w:p>
      <w:pPr>
        <w:spacing w:after="0" w:line="5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lead product candidate, GlyphAllo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the first half of 2027. Given the strength in enrollment and to maximize the likelihood that the BUOY-1 trial could be used to support registration, we plan to enroll the full prespecified target sample size of approximately 360 patients and no longer intend to perform a sample size re-estimation (SSRE). We have dosed the first patient in a Phase 1 driving simulation trial of GlyphAllo, with topline data expected in the second half of 2026, in advance of the expected topline readout of the BUOY-1 trial.</w:t>
      </w:r>
    </w:p>
    <w:p>
      <w:pPr>
        <w:spacing w:after="0" w:line="60"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second product candidate, GlyphAgo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were observed. In June 2026, we reported topline data from the multiple-ascending dose, or MAD, portion of the trial, which showed that seven-day dosing of GlyphAgo achieved therapeutic exposures of agomelatine at doses projected to avoid liver enzyme elevations and reduce or eliminate the need for liver function testing, and demonstrated favorable safety and tolerability, with no liver-related adverse events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w:t>
      </w:r>
    </w:p>
    <w:p>
      <w:pPr>
        <w:spacing w:after="0" w:line="6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also advancing Glyph2BLSD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50"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have devoted substantially all of our efforts to organizing and staffing our company, business planning, capital raising, research and development activities, building and strengthening our intellectual property portfolio, and providing general and administrative support for these operations. We have funded our operations with proceeds from the issuance and sale of convertible preferred stock, including the $100.1 million gross proceeds we received in April 2024 from our Series A-2 Financing and the $226.0 million gross proceeds we received in October 2024 from our Series B Financing. During the second quarter of 2026, we completed our IPO, in which we sold an aggregate 14,446,658 shares of our common stock, including 286,568 shares issued pursuant to the exercise of the underwriters' overallotment option, at a public offering price of $18.00 per share resulting in aggregate net proceeds of approximately $238.7 million, after deducting underwriter discounts, commissions and other estimated offering expenses.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5" w:name="page26"/>
    <w:bookmarkEnd w:id="25"/>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have incurred significant operating losses since the inception of our business and expect to continue to generate operating losses for the foreseeable future, and expect that our expenses and operating losses will continue to increase substantially. Our ability to generate product revenue sufficient to achieve profitability will depend on the successful development and eventual commercialization of any product candidates we may develop. During the three months ended March 31, 2026 and 2025, we had a net loss of $25.4 million and $13.1 million, respectively. As of March 31, 2026, we had an accumulated deficit of $139.5 million. Our net losses may fluctuate significantly from quarter-to-quarter and year-to-year, depending on the timing of our preclinical studies and planned clinical trials and our expenditures on other research and development activities.</w:t>
      </w:r>
    </w:p>
    <w:p>
      <w:pPr>
        <w:spacing w:after="0" w:line="14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5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we had cash, cash equivalents and investments of $212.6 million. Based on our current operating plans, we believe that our existing cash, cash equivalents and investments, together with the net proceeds from our IPO completed during the second quarter of 2026, will be sufficient to fund our operating expenses and capital expenditure requirements into 2029.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preclinical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condensed consolidated financial statements as prepaid or accrued research and development expenses.</w:t>
      </w:r>
    </w:p>
    <w:p>
      <w:pPr>
        <w:spacing w:after="0" w:line="14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in 2023 and Glyph2BLSD in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legal costs consisting of general corporate legal fees and patent legal fees.</w:t>
      </w:r>
    </w:p>
    <w:p>
      <w:pPr>
        <w:spacing w:after="0" w:line="14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Securities and Exchange Commission, and investor relations costs.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earned on our investments and cash equivalents, research and development tax credits from the Australian government’s tax incentive program, and realized and unrealized foreign currency gains and losses.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99"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Provision for income taxes consists of United States federal and state income taxes in jurisdictions in which we conduct business and foreign income taxes related to our Australian subsidiary. The provision for income taxes is based on our taxable income. Our loss before income taxes is adjusted for permanent and temporary tax differences, primarily related to capitalized non-U.S. research and development expenses, resulting in taxable income or loss. We recorded a full valuation allowance of our U.S. deferred tax asset position as of March 31, 2026 and 2025 as we believe it was more likely than not that we would not be able to utilize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2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stock-based</w:t>
            </w:r>
          </w:p>
        </w:tc>
        <w:tc>
          <w:tcPr>
            <w:tcW w:w="3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21,431</w:t>
            </w:r>
          </w:p>
        </w:tc>
        <w:tc>
          <w:tcPr>
            <w:tcW w:w="1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10,534</w:t>
            </w:r>
          </w:p>
        </w:tc>
        <w:tc>
          <w:tcPr>
            <w:tcW w:w="18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10,897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expense of $0.9 million and $0.5 million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 the three months ended March 31, 2026 and 2025, respectively)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2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General and administrative (including stock-based</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6,112</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5,651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compensation expense of $1.7 million and $1.1 million</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for the three months ended March 31, 2026 and 2025, respectively)</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(27,543)</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(16,185)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(11,358)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8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(24,889)</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(13,094)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(25,408)</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(13,125)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-927100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-927100</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-927100</wp:posOffset>
            </wp:positionV>
            <wp:extent cx="546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-476885</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-476885</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-476885</wp:posOffset>
            </wp:positionV>
            <wp:extent cx="546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Direct costs:</w:t>
            </w: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GlyphAllo</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GlyphAgo</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Glyph2BLSD</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(314)</w:t>
            </w: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Preclinical and early discovery assets</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Indirect costs: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compensation (excluding stock-based compensation)</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5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expenses increased by $10.9 million from $10.5 million for the three months ended March 31, 2025 to $21.4 million for the three months ended March 31, 2026. The increase in research and development expenses was primarily attributable to:</w:t>
      </w:r>
    </w:p>
    <w:p>
      <w:pPr>
        <w:spacing w:after="0" w:line="50" w:lineRule="exact"/>
        <w:rPr>
          <w:sz w:val="20"/>
          <w:szCs w:val="20"/>
          <w:color w:val="auto"/>
        </w:rPr>
      </w:pPr>
    </w:p>
    <w:p>
      <w:pPr>
        <w:ind w:left="1240" w:right="659" w:hanging="251"/>
        <w:spacing w:after="0" w:line="292"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million of increased costs associated with our lead program GlyphAllo, which was primarily due to advancement of our Phase 2b BUOY-1 trial which commenced in July 2025;</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 million of increased costs associated with our GlyphAgo program, which was primarily due to advancement of our Phase 1 trial, for which we announced dosing of the first participant in September 2025 and completed the study in the second quarter of 2026;</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million of increased costs associated with employee compensation primarily due to increased headcount to support our research and development operations; and</w:t>
      </w:r>
    </w:p>
    <w:p>
      <w:pPr>
        <w:spacing w:after="0" w:line="37"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 million of increased costs associated with stock-based compensation costs primarily due to additional equity grants issued under our 2024 Equity Plan, partially offset by;</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of decreased costs associated with our Glyph2BLSD program due to timing of our research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0" w:type="dxa"/>
            <w:vAlign w:val="bottom"/>
            <w:tcBorders>
              <w:bottom w:val="single" w:sz="8" w:color="auto"/>
            </w:tcBorders>
            <w:gridSpan w:val="5"/>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r>
      <w:tr>
        <w:trPr>
          <w:trHeight w:val="16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compensation (excluding stock-based compensation)</w:t>
            </w:r>
          </w:p>
        </w:tc>
        <w:tc>
          <w:tcPr>
            <w:tcW w:w="1040" w:type="dxa"/>
            <w:vAlign w:val="bottom"/>
            <w:gridSpan w:val="2"/>
            <w:shd w:val="clear" w:color="auto" w:fill="CFF0FC"/>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2,446</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FF0FC"/>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1,678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4"/>
                <w:szCs w:val="14"/>
                <w:color w:val="auto"/>
              </w:rPr>
            </w:pPr>
          </w:p>
        </w:tc>
      </w:tr>
      <w:tr>
        <w:trPr>
          <w:trHeight w:val="17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4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1,201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(682)</w:t>
            </w: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Facilities, depreciation, IT, and other</w:t>
            </w: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r>
      <w:tr>
        <w:trPr>
          <w:trHeight w:val="18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4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3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6,112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FF0FC"/>
          </w:tcPr>
          <w:p>
            <w:pPr>
              <w:spacing w:after="0"/>
              <w:rPr>
                <w:sz w:val="15"/>
                <w:szCs w:val="15"/>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760" w:right="639" w:firstLine="351"/>
        <w:spacing w:after="0" w:line="274" w:lineRule="auto"/>
        <w:rPr>
          <w:sz w:val="20"/>
          <w:szCs w:val="20"/>
          <w:color w:val="auto"/>
        </w:rPr>
      </w:pPr>
      <w:r>
        <w:rPr>
          <w:rFonts w:ascii="Times New Roman" w:cs="Times New Roman" w:eastAsia="Times New Roman" w:hAnsi="Times New Roman"/>
          <w:sz w:val="14"/>
          <w:szCs w:val="14"/>
          <w:color w:val="auto"/>
        </w:rPr>
        <w:t>General and administrative expenses increased by $0.5 million from $5.7 million for the three months ended March 31, 2025 to $6.1 million for the three months ended March 31, 2026. The increase in general and administrative expenses was primarily attributable to:</w:t>
      </w:r>
    </w:p>
    <w:p>
      <w:pPr>
        <w:spacing w:after="0" w:line="222" w:lineRule="exact"/>
        <w:rPr>
          <w:sz w:val="20"/>
          <w:szCs w:val="20"/>
          <w:color w:val="auto"/>
        </w:rPr>
      </w:pPr>
    </w:p>
    <w:p>
      <w:pPr>
        <w:ind w:left="1240" w:right="659" w:hanging="251"/>
        <w:spacing w:after="0" w:line="292" w:lineRule="auto"/>
        <w:tabs>
          <w:tab w:leader="none" w:pos="1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$0.5 million of increased employee compensation, excluding stock-based compensation due to increased headcount to support our operations;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$0.6 million of increased stock-based compensation expense primarily due to increased headcount to support our operations, partially offset by;</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$0.7 million of decreased professional fees primarily due to lower audit and legal fees.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9" w:lineRule="exact"/>
        <w:rPr>
          <w:sz w:val="20"/>
          <w:szCs w:val="20"/>
          <w:color w:val="auto"/>
        </w:rPr>
      </w:pPr>
    </w:p>
    <w:p>
      <w:pPr>
        <w:jc w:val="both"/>
        <w:ind w:left="760" w:right="659" w:firstLine="351"/>
        <w:spacing w:after="0" w:line="268" w:lineRule="auto"/>
        <w:rPr>
          <w:sz w:val="20"/>
          <w:szCs w:val="20"/>
          <w:color w:val="auto"/>
        </w:rPr>
      </w:pPr>
      <w:r>
        <w:rPr>
          <w:rFonts w:ascii="Times New Roman" w:cs="Times New Roman" w:eastAsia="Times New Roman" w:hAnsi="Times New Roman"/>
          <w:sz w:val="14"/>
          <w:szCs w:val="14"/>
          <w:color w:val="auto"/>
        </w:rPr>
        <w:t>Other income, net decreased by $0.4 million from $3.1 million for the three months ended March 31, 2025 to $2.7 million for the three months ended March 31, 2026. The decrease in other income, net was primarily attributed to decrease in interest income on our investments and cash equivalents due to the amount of funds invested in interest bearing accounts, offset by an increase in our research and development tax credit as a result of qualifying research and development spend in Australia.</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provision</w:t>
      </w:r>
    </w:p>
    <w:p>
      <w:pPr>
        <w:spacing w:after="0" w:line="99" w:lineRule="exact"/>
        <w:rPr>
          <w:sz w:val="20"/>
          <w:szCs w:val="20"/>
          <w:color w:val="auto"/>
        </w:rPr>
      </w:pPr>
    </w:p>
    <w:p>
      <w:pPr>
        <w:jc w:val="both"/>
        <w:ind w:left="760" w:right="639" w:firstLine="351"/>
        <w:spacing w:after="0" w:line="274" w:lineRule="auto"/>
        <w:rPr>
          <w:sz w:val="20"/>
          <w:szCs w:val="20"/>
          <w:color w:val="auto"/>
        </w:rPr>
      </w:pPr>
      <w:r>
        <w:rPr>
          <w:rFonts w:ascii="Times New Roman" w:cs="Times New Roman" w:eastAsia="Times New Roman" w:hAnsi="Times New Roman"/>
          <w:sz w:val="14"/>
          <w:szCs w:val="14"/>
          <w:color w:val="auto"/>
        </w:rPr>
        <w:t>Income tax provision increased by $0.5 million from $0.0 million for the three months ended March 31, 2025 to $0.5 million for the three months ended March 31, 2026. The increase in the income tax provision was attributed to foreign income taxes related to our Australian subsidiary primarily as a result of our research and development tax credit in Australia.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Since our inception, we have incurred significant operating losses. During the three months ended March 31, 2026 and 2025, we had a net loss of $25.4 million and $13.1 million, respectively. As of March 31, 2026, we had an accumulated deficit of $139.5 million.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costs to continue to increase significantly, including the costs associated with operating as a public company.</w:t>
      </w:r>
    </w:p>
    <w:p>
      <w:pPr>
        <w:spacing w:after="0" w:line="23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To date, prior to our initial public offering, we have funded our operations with the aggregate gross proceeds of $326.1 million from the Series A and Series B Financings. During the second quarter of 2026, we raised aggregate net proceeds of $238.7 million from the sale of shares of common stock in our initial public offering, after deducting underwriter discounts, commissions and other estimated offering expenses. As of March 31, 2026, we had cash, cash equivalents and investments of $212.6 million. Based on our current operating plans, we believe that our existing cash, cash equivalents and investments, together with the net proceeds from our IPO completed during the second quarter of 2026, will be sufficient to fund our operating expenses and capital expenditure requirements into 2029.</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period presented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r>
      <w:tr>
        <w:trPr>
          <w:trHeight w:val="16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(20,172)</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(20,205)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(225,551)</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253,401</w:t>
            </w:r>
          </w:p>
        </w:tc>
        <w:tc>
          <w:tcPr>
            <w:tcW w:w="100" w:type="dxa"/>
            <w:vAlign w:val="bottom"/>
          </w:tcPr>
          <w:p>
            <w:pPr>
              <w:spacing w:after="0"/>
              <w:rPr>
                <w:sz w:val="14"/>
                <w:szCs w:val="14"/>
                <w:color w:val="auto"/>
              </w:rPr>
            </w:pPr>
          </w:p>
        </w:tc>
      </w:tr>
      <w:tr>
        <w:trPr>
          <w:trHeight w:val="172"/>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(783)</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(783)</w:t>
            </w:r>
          </w:p>
        </w:tc>
      </w:tr>
      <w:tr>
        <w:trPr>
          <w:trHeight w:val="172"/>
        </w:trPr>
        <w:tc>
          <w:tcPr>
            <w:tcW w:w="42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r>
              <w:rPr>
                <w:rFonts w:ascii="Times New Roman" w:cs="Times New Roman" w:eastAsia="Times New Roman" w:hAnsi="Times New Roman"/>
                <w:sz w:val="19"/>
                <w:szCs w:val="19"/>
                <w:color w:val="auto"/>
                <w:vertAlign w:val="superscript"/>
              </w:rPr>
              <w:t>(1)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(245,756)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252,623</w:t>
            </w:r>
          </w:p>
        </w:tc>
        <w:tc>
          <w:tcPr>
            <w:tcW w:w="100" w:type="dxa"/>
            <w:vAlign w:val="bottom"/>
            <w:shd w:val="clear" w:color="auto" w:fill="CFF0FC"/>
          </w:tcPr>
          <w:p>
            <w:pPr>
              <w:spacing w:after="0"/>
              <w:rPr>
                <w:sz w:val="15"/>
                <w:szCs w:val="15"/>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ind w:left="980" w:right="739" w:hanging="342"/>
        <w:spacing w:after="0" w:line="235" w:lineRule="auto"/>
        <w:tabs>
          <w:tab w:leader="none" w:pos="9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was $20.2 million for both the three months ended March 31, 2026 and 2025, respectively. Cash used in operating activities was unchanged due to an increase in our operating expenses for the three months ended March 31, 2026, offset by a reduction in prepaid deposits for our clinical development activities and an increase in our accounts payables balance due to timing of payments.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Provided by (Used in) Investing Activities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investing activities was $27.9 million for the three months ended March 31, 2026, compared to net cash used in investing activities of $225.6 million for the three months ended March 31, 2025. Cash used in investing activities decreased by $253.4 million due to the initial purchases of U.S. treasuries in accordance with our investment policy during the three months ended March 31, 2025.</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Used in by Financing Activities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Net cash used in financing activities was $0.8 million for the three months ended March 31, 2026, consisting of payments of deferred offering costs. There were no cash flows from financing activities for the three months ended March 31, 2025.</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March 31, 2026, we had cash and cash equivalents, and investments of $212.6 million. Based upon our current operating plans, we believe that the net proceeds from our initial public offering completed during the second quarter of 2026, together with our cash, cash equivalents and investments as of March 31, 2026, will be sufficient to fund our operations into 2029. We have based this estimate on assumptions that may prove to be wrong, and we could exhaust our available capital resources sooner than we expect.</w:t>
      </w:r>
    </w:p>
    <w:p>
      <w:pPr>
        <w:spacing w:after="0" w:line="14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4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4"/>
          <w:szCs w:val="14"/>
          <w:color w:val="auto"/>
        </w:rPr>
        <w:t>Our funding requirements and timing and amount of our operating expenditures will depend on many factors, including:</w:t>
      </w:r>
    </w:p>
    <w:p>
      <w:pPr>
        <w:spacing w:after="0" w:line="97" w:lineRule="exact"/>
        <w:rPr>
          <w:sz w:val="20"/>
          <w:szCs w:val="20"/>
          <w:color w:val="auto"/>
        </w:rPr>
      </w:pPr>
    </w:p>
    <w:p>
      <w:pPr>
        <w:ind w:left="1240" w:right="65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preclinical development and clinical trials for our current or future product candidates and effectiveness of our Glyph platform;</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39" w:hanging="251"/>
        <w:spacing w:after="0" w:line="274"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83"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Commitments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Asset Transfer Agreement with PureTech</w:t>
      </w:r>
    </w:p>
    <w:p>
      <w:pPr>
        <w:spacing w:after="0" w:line="9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were incorporated in April 2024 by PureTech LYT, as our sole stockholder, and upon formation issued 318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302,161 shares of our common stock to PureTech LYT.</w:t>
      </w:r>
    </w:p>
    <w:p>
      <w:pPr>
        <w:spacing w:after="0" w:line="31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 $500 million to $1 billion:</w:t>
      </w:r>
    </w:p>
    <w:p>
      <w:pPr>
        <w:spacing w:after="0" w:line="4" w:lineRule="exact"/>
        <w:rPr>
          <w:sz w:val="20"/>
          <w:szCs w:val="20"/>
          <w:color w:val="auto"/>
        </w:rPr>
      </w:pPr>
    </w:p>
    <w:p>
      <w:pPr>
        <w:jc w:val="both"/>
        <w:ind w:left="640" w:right="659"/>
        <w:spacing w:after="0" w:line="260" w:lineRule="auto"/>
        <w:rPr>
          <w:sz w:val="20"/>
          <w:szCs w:val="20"/>
          <w:color w:val="auto"/>
        </w:rPr>
      </w:pPr>
      <w:r>
        <w:rPr>
          <w:rFonts w:ascii="Times New Roman" w:cs="Times New Roman" w:eastAsia="Times New Roman" w:hAnsi="Times New Roman"/>
          <w:sz w:val="14"/>
          <w:szCs w:val="14"/>
          <w:color w:val="auto"/>
        </w:rPr>
        <w:t>3.5%; $1 billion to $2.5 billion: 4%; $2.5 billion to $3.5 billion: 4.5%; $3.5 billion or greater: 5%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Monash License Agreement</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Under the Monash License Agreement, we have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4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March 31, 2026.</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i w:val="1"/>
          <w:iCs w:val="1"/>
          <w:color w:val="auto"/>
        </w:rPr>
        <w:t>Purchase and Other Obligations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contract research organizations, or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Lease Obligations</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November 2024, we entered into a lease agreement with a third party for our corporate office space located in Boston, Massachusetts. The lease commenced in December 2024 and has an initial term of approximately six years, expiring in October 2030. The aggregate payments under the full lease total approximately $6.1 million, which will be recognized over the term of the lease.</w:t>
      </w:r>
    </w:p>
    <w:p>
      <w:pPr>
        <w:spacing w:after="0" w:line="13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December 2024, we entered into a laboratory license with a third party for lab space located in Boston, Massachusetts. The license commenced in January 2025 and is for an initial term of 24 months from the commencement date. The aggregate payments under the full license total approximately $1.2 million. In March 2026, we exercised our option to extend the lease for an additional 12 months. The modification resulted in an increase in the aggregate payments under the full license total approximately $0.6 million.</w:t>
      </w:r>
    </w:p>
    <w:p>
      <w:pPr>
        <w:spacing w:after="0" w:line="312"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For additional information on our contractual obligation and commitments please see Note 8—Monash License Agreement and Note 14—Commitments and Contingencies.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 and Significant Judgments</w:t>
      </w:r>
    </w:p>
    <w:p>
      <w:pPr>
        <w:spacing w:after="0" w:line="9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321" w:lineRule="exact"/>
        <w:rPr>
          <w:sz w:val="20"/>
          <w:szCs w:val="20"/>
          <w:color w:val="auto"/>
        </w:rPr>
      </w:pPr>
    </w:p>
    <w:p>
      <w:pPr>
        <w:jc w:val="both"/>
        <w:ind w:left="640" w:right="639" w:firstLine="351"/>
        <w:spacing w:after="0" w:line="267" w:lineRule="auto"/>
        <w:rPr>
          <w:sz w:val="20"/>
          <w:szCs w:val="20"/>
          <w:color w:val="auto"/>
        </w:rPr>
      </w:pPr>
      <w:r>
        <w:rPr>
          <w:rFonts w:ascii="Times New Roman" w:cs="Times New Roman" w:eastAsia="Times New Roman" w:hAnsi="Times New Roman"/>
          <w:sz w:val="14"/>
          <w:szCs w:val="14"/>
          <w:color w:val="auto"/>
        </w:rPr>
        <w:t>Our significant accounting policies are described in more detail in Note 2 to our consolidated financial statements included in our IPO prospectus. During the three months ended March 31, 2026, there were no material changes to our critical accounting policies and estimates described under Management’s Discussion and Analysis of Critical Accounting Policies and Estimates which are included in our IPO Prospectus, except that our common stock is now publicly traded and we therefore no longer require common stock valuations.</w:t>
      </w: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spacing w:after="0" w:line="54" w:lineRule="exact"/>
        <w:rPr>
          <w:sz w:val="20"/>
          <w:szCs w:val="20"/>
          <w:color w:val="auto"/>
        </w:rPr>
      </w:pPr>
    </w:p>
    <w:p>
      <w:pPr>
        <w:jc w:val="both"/>
        <w:ind w:left="1240" w:right="659" w:hanging="251"/>
        <w:spacing w:after="0" w:line="274"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being permitted to provide only two years of audited financial statements in addition to any required unaudited interim financial statements and a correspondingly reduced “Management’s Discussion and Analysis of Financial Condition and Results of Operations” disclosure in this </w:t>
      </w:r>
      <w:r>
        <w:rPr>
          <w:rFonts w:ascii="Times New Roman" w:cs="Times New Roman" w:eastAsia="Times New Roman" w:hAnsi="Times New Roman"/>
          <w:sz w:val="14"/>
          <w:szCs w:val="14"/>
          <w:i w:val="1"/>
          <w:iCs w:val="1"/>
          <w:color w:val="auto"/>
        </w:rPr>
        <w:t>Quarterly Report on Form 10-Q</w:t>
      </w:r>
      <w:r>
        <w:rPr>
          <w:rFonts w:ascii="Times New Roman" w:cs="Times New Roman" w:eastAsia="Times New Roman" w:hAnsi="Times New Roman"/>
          <w:sz w:val="14"/>
          <w:szCs w:val="14"/>
          <w:color w:val="auto"/>
        </w:rPr>
        <w: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Section 404 of the Sarbanes-Oxley Act;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shareholder approval of any golden parachute payments not previously approved;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4"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3" w:name="page34"/>
    <w:bookmarkEnd w:id="33"/>
    <w:p>
      <w:pPr>
        <w:jc w:val="both"/>
        <w:ind w:left="640" w:right="639"/>
        <w:spacing w:after="0" w:line="260" w:lineRule="auto"/>
        <w:rPr>
          <w:sz w:val="20"/>
          <w:szCs w:val="20"/>
          <w:color w:val="auto"/>
        </w:rPr>
      </w:pPr>
      <w:r>
        <w:rPr>
          <w:rFonts w:ascii="Times New Roman" w:cs="Times New Roman" w:eastAsia="Times New Roman" w:hAnsi="Times New Roman"/>
          <w:sz w:val="14"/>
          <w:szCs w:val="14"/>
          <w:color w:val="auto"/>
        </w:rPr>
        <w:t>declared effective or do not have a class of securities registered under the Exchange Act of 1934, as amended, or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(i) the last day of the fiscal year following the fifth anniversary of the completion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As a "smaller reporting company," as defined by Rule 12b-2 of the Exchange Act, and pursuant to Item 305 of Regulation S-K, we are not required to provide quantitative and qualitative disclosures about market risk.</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Management's Evaluation of Disclosure Controls and Procedures</w:t>
      </w:r>
    </w:p>
    <w:p>
      <w:pPr>
        <w:spacing w:after="0" w:line="101" w:lineRule="exact"/>
        <w:rPr>
          <w:sz w:val="20"/>
          <w:szCs w:val="20"/>
          <w:color w:val="auto"/>
        </w:rPr>
      </w:pPr>
    </w:p>
    <w:p>
      <w:pPr>
        <w:jc w:val="both"/>
        <w:ind w:left="640" w:right="659" w:firstLine="258"/>
        <w:spacing w:after="0" w:line="263"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58" w:lineRule="exact"/>
        <w:rPr>
          <w:sz w:val="20"/>
          <w:szCs w:val="20"/>
          <w:color w:val="auto"/>
        </w:rPr>
      </w:pPr>
    </w:p>
    <w:p>
      <w:pPr>
        <w:jc w:val="both"/>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jc w:val="both"/>
        <w:ind w:left="640" w:right="659" w:firstLine="258"/>
        <w:spacing w:after="0" w:line="274"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799"/>
        <w:spacing w:after="0" w:line="292"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probable to have material adverse effect on our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Investing in our common stock involves a high degree of risk. You should consider and read carefully all of the risks and uncertainties described below, as well as the other information in this Quarterly Report on Form 10-Q, including “Management’s Discussion and Analysis of Financial Condition and Results of Operations,” our </w:t>
      </w:r>
      <w:r>
        <w:rPr>
          <w:rFonts w:ascii="Times New Roman" w:cs="Times New Roman" w:eastAsia="Times New Roman" w:hAnsi="Times New Roman"/>
          <w:sz w:val="14"/>
          <w:szCs w:val="14"/>
          <w:color w:val="auto"/>
        </w:rPr>
        <w:t>condensed</w:t>
      </w:r>
      <w:r>
        <w:rPr>
          <w:rFonts w:ascii="Times New Roman" w:cs="Times New Roman" w:eastAsia="Times New Roman" w:hAnsi="Times New Roman"/>
          <w:sz w:val="14"/>
          <w:szCs w:val="14"/>
          <w:i w:val="1"/>
          <w:iCs w:val="1"/>
          <w:color w:val="auto"/>
        </w:rPr>
        <w:t xml:space="preserve"> consolidated financial statements and the related notes included elsewhere in this Quarterly Report on Form 10-Q and our audited consolidated financial statements and related notes included in the IPO Prospectus,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This Quarterly Report on Form 10-Q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Limited Operating History, Financial Condition, and Need for Additional Capital</w:t>
      </w:r>
    </w:p>
    <w:p>
      <w:pPr>
        <w:spacing w:after="0" w:line="9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cs="Times New Roman" w:eastAsia="Times New Roman" w:hAnsi="Times New Roman"/>
          <w:sz w:val="7"/>
          <w:szCs w:val="7"/>
          <w:color w:val="auto"/>
        </w:rPr>
        <w:t>™</w:t>
      </w:r>
      <w:r>
        <w:rPr>
          <w:rFonts w:ascii="Times New Roman" w:cs="Times New Roman" w:eastAsia="Times New Roman" w:hAnsi="Times New Roman"/>
          <w:sz w:val="14"/>
          <w:szCs w:val="14"/>
          <w:color w:val="auto"/>
        </w:rPr>
        <w:t xml:space="preserve"> platform and technology, identifying potential product candidates, securing intellectual property rights, and planning and undertaking preclinical studies and clinical trials. Our Glyph platform was being developed by members of our current team during their tenure at PureTech up to the date of our entry into an Asset Transfer Agreement, or the Asset Transfer Agreement, with PureTech Health LLC, or PureTech Health, and PureTech LYT, Inc., or PureTech LYT, at which time we became a standalone company.</w:t>
      </w:r>
    </w:p>
    <w:p>
      <w:pPr>
        <w:spacing w:after="0" w:line="320"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preclinical and early clinical development of GlyphAllo</w:t>
      </w:r>
      <w:r>
        <w:rPr>
          <w:rFonts w:ascii="Times New Roman" w:cs="Times New Roman" w:eastAsia="Times New Roman" w:hAnsi="Times New Roman"/>
          <w:sz w:val="7"/>
          <w:szCs w:val="7"/>
          <w:color w:val="auto"/>
        </w:rPr>
        <w:t>TM</w:t>
      </w:r>
      <w:r>
        <w:rPr>
          <w:rFonts w:ascii="Times New Roman" w:cs="Times New Roman" w:eastAsia="Times New Roman" w:hAnsi="Times New Roman"/>
          <w:sz w:val="14"/>
          <w:szCs w:val="14"/>
          <w:color w:val="auto"/>
        </w:rPr>
        <w:t xml:space="preserve"> , certain preclinical development of GlyphAgo</w:t>
      </w:r>
      <w:r>
        <w:rPr>
          <w:rFonts w:ascii="Times New Roman" w:cs="Times New Roman" w:eastAsia="Times New Roman" w:hAnsi="Times New Roman"/>
          <w:sz w:val="7"/>
          <w:szCs w:val="7"/>
          <w:color w:val="auto"/>
        </w:rPr>
        <w:t>TM</w:t>
      </w:r>
      <w:r>
        <w:rPr>
          <w:rFonts w:ascii="Times New Roman" w:cs="Times New Roman" w:eastAsia="Times New Roman" w:hAnsi="Times New Roman"/>
          <w:sz w:val="14"/>
          <w:szCs w:val="14"/>
          <w:color w:val="auto"/>
        </w:rPr>
        <w:t xml:space="preserve">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w:t>
      </w:r>
    </w:p>
    <w:p>
      <w:pPr>
        <w:spacing w:after="0" w:line="31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 have no products approved for commercial sale and have not generated any revenue from product sales or collaboration arrangements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$25.4 million and $13.1 million for the three months ended March 31, 2026 and 2025, respectively. As of March 31, 2026, we have not yet generated product or collaboration revenue and had an accumulated deficit of $139.5 million.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w:t>
      </w:r>
    </w:p>
    <w:p>
      <w:pPr>
        <w:spacing w:after="0" w:line="65" w:lineRule="exact"/>
        <w:rPr>
          <w:sz w:val="20"/>
          <w:szCs w:val="20"/>
          <w:color w:val="auto"/>
        </w:rPr>
      </w:pPr>
    </w:p>
    <w:p>
      <w:pPr>
        <w:ind w:left="1240" w:right="659" w:hanging="251"/>
        <w:spacing w:after="0" w:line="292" w:lineRule="auto"/>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and completion of preclinical studies with favorable results, including toxicology and other studies designed to be compliant with good laboratory practice, or GLP, requirements;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enrollment, and completion of clinical studies in accordance with good clinical practice, or GCPs, requirements and other applicable rules and regulations;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and severity of adverse events, or AEs, observed in clinical trials;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7" w:name="page38"/>
    <w:bookmarkEnd w:id="37"/>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establishing relationships with contract research organizations, or CROs, and clinical sites for the clinical development of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demonstrating the safety and efficacy of our product candidates to the satisfaction of the FDA and other applicable regulatory authorities;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approvals of New Drug applications, or NDAs, from the FDA, and maintaining any such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arrangements with third-party manufacturers for, or establishing, clinical or commercial manufacturing capabilities;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 candidates, if and when approved, either alone or in collaboration with others;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establishing, and maintaining patent and trade secret protection or regulatory exclusivity for our product candidates;</w:t>
      </w:r>
    </w:p>
    <w:p>
      <w:pPr>
        <w:spacing w:after="0" w:line="25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 candidates following regulatory approval, if 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growing an organization of people who can develop and, if approved, commercialize, market and sell our product candidates, if approved;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approved, by patients, the medical community and third-party payors.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97" w:lineRule="exact"/>
        <w:rPr>
          <w:sz w:val="20"/>
          <w:szCs w:val="20"/>
          <w:color w:val="auto"/>
        </w:rPr>
      </w:pPr>
    </w:p>
    <w:p>
      <w:pPr>
        <w:jc w:val="both"/>
        <w:ind w:left="1240" w:right="659" w:hanging="251"/>
        <w:spacing w:after="0" w:line="285"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preclinical and clinical development, including advancing GlyphAllo and GlyphAgo through later-stage clinical trials, and other candidates through discovery and early clinical and preclinical stages;</w:t>
      </w:r>
    </w:p>
    <w:p>
      <w:pPr>
        <w:spacing w:after="0" w:line="219"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 from the U.S. Food and Drug Administration, or the FDA, and/or other foreign comparable regulatory authorities;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quality control, medical, scientific, and other technical personnel to support the clinical development of our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internal capabilities to support clinical-stage development;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headcount as we expand our research and development organization, and pre-commercial planning activities;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activities to establish sales, marketing, and distribution capabilities in preparation for commercialization, as applicable, including hiring additional personnel to support such operations;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heightened regulatory scrutiny;</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associated with operating as a public company.</w:t>
      </w:r>
    </w:p>
    <w:p>
      <w:pPr>
        <w:spacing w:after="0" w:line="18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8" w:name="page39"/>
    <w:bookmarkEnd w:id="38"/>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Developing therapeutic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and our IPO. We expect our expenses to increase in connection with our ongoing activities, particularly as we continue the clinical and preclinical development of our product candidates, continue to identify additional targets using our Glyph platform, commence additional preclinical studies and clinical trials, and continue to identify and develop additional product candidates either through internal development or through acquisitions or in-licensing product candidates.</w:t>
      </w:r>
    </w:p>
    <w:p>
      <w:pPr>
        <w:spacing w:after="0" w:line="14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As of March 31, 2026, we had $212.6 million of cash, cash equivalents and investments. Based upon our current operating plan, we believe that our existing cash, cash equivalents, and investments, together with the net proceeds from our IPO, will enable us to fund our operating expenses and capital expenditure requirements into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60" w:lineRule="exact"/>
        <w:rPr>
          <w:sz w:val="20"/>
          <w:szCs w:val="20"/>
          <w:color w:val="auto"/>
        </w:rPr>
      </w:pPr>
    </w:p>
    <w:p>
      <w:pPr>
        <w:ind w:left="1240" w:right="65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preclinical development and clinical trials for our current or future product candidates and effectiveness of our Glyph platform;</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39" w:hanging="251"/>
        <w:spacing w:after="0" w:line="274"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9" w:name="page40"/>
    <w:bookmarkEnd w:id="39"/>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expect to continue incurring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product candidates.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we expect to finance our operations with our existing cash, cash equivalents, and investments, the net proceeds from this offering, any future equity, debt, royalty, other financings, or any future proceeds received under any licenses or collaborations, if any.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5" w:lineRule="exact"/>
        <w:rPr>
          <w:sz w:val="20"/>
          <w:szCs w:val="20"/>
          <w:color w:val="auto"/>
        </w:rPr>
      </w:pPr>
    </w:p>
    <w:p>
      <w:pPr>
        <w:jc w:val="both"/>
        <w:ind w:left="640" w:right="63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5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other comparable regulatory authorities that our product candidates are safe and effective;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clinical trials and preclinical studies;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product-related AEs experienced by subjects in our clinical trials, including unexpected toxicity results, or by individuals using drugs or therapeutic biologics similar to our product candidates;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0" w:name="page41"/>
    <w:bookmarkEnd w:id="40"/>
    <w:p>
      <w:pPr>
        <w:jc w:val="both"/>
        <w:ind w:left="1240" w:right="659" w:hanging="251"/>
        <w:spacing w:after="0" w:line="274"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other comparable regulatory authorities regarding the scope or design of our clinical trials;</w:t>
      </w:r>
    </w:p>
    <w:p>
      <w:pPr>
        <w:spacing w:after="0" w:line="25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effectiveness of our product candidates during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subjects in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of subjects from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product candidates or other materials necessary for the conduct of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anticipated clinical trial or manufacturing costs;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other comparable regulatory authority inspection and review of our clinical trial sites, manufacturing sites, or those of our partners;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the clinical trial protocol or otherwise meet their contractual obligations in a timely manner, or at all;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with existing platforms, product candidates, or therapies;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policies, and guidelines, including the imposition of additional regulatory oversight around clinical testing generally or with respect to our therapies in particular;</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activities to prepare for launch, commercialization and/or resources to address coverage and reimbursement matters to the extent any of our products receive approval; or</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or other comparable regulatory authorities.</w:t>
      </w:r>
    </w:p>
    <w:p>
      <w:pPr>
        <w:spacing w:after="0" w:line="26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31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do not know whether our planned clinical trials will begin on time or be completed on schedule, if at all. The timing for commencement, data readouts, and completion of clinical trials can be delayed for a number of reasons, including delays related to:</w:t>
      </w:r>
    </w:p>
    <w:p>
      <w:pPr>
        <w:spacing w:after="0" w:line="36" w:lineRule="exact"/>
        <w:rPr>
          <w:sz w:val="20"/>
          <w:szCs w:val="20"/>
          <w:color w:val="auto"/>
        </w:rPr>
      </w:pPr>
    </w:p>
    <w:p>
      <w:pPr>
        <w:ind w:left="1240" w:right="659" w:hanging="251"/>
        <w:spacing w:after="0" w:line="295"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inability to generate sufficient preclinical, toxicology, or other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to support the initiation or continuation of clinical trials;</w:t>
      </w:r>
    </w:p>
    <w:p>
      <w:pPr>
        <w:spacing w:after="0" w:line="35"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allowance or approval from regulatory authorities to commence a trial or reaching a consensus with regulatory authorities on trial design;</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disagreeing as to the design or implementation of our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delay in reaching an agreement with CROs and clinical trial sites, the terms of which can be subject to extensive negotiation and may vary significantly among different CROs and trial sites;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identifying, recruiting, and training suitable clinical investigators;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1" w:name="page42"/>
    <w:bookmarkEnd w:id="41"/>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approval from one or more institutional review boards, or IRBs, or ethics committees at clinical trial sites;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IRBs refusing to approve, suspending, or terminating the trial at an investigational site, precluding enrollment of additional subjects, or withdrawing their approval of the trial;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amendments to the clinical trial protocol;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the trial protocol or dropping out of a trial;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CROs to perform in accordance with GCP requirements or applicable regulatory rules and guidelines in other countries;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sufficient quantities of our product candidates for use in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failing to enroll or remain in our trials at the rate we expect, or failing to return for post-treatment follow-up, including subjects failing to remain in our trials;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choosing an alternative product for the indications for which we are developing our product candidates, or participating in competing clinical trials;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a clinical trial or costs being greater than we anticipate;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experiencing severe or serious unexpected drug-related AEs;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AEs in trials of the same class of agents conducted by other companies that could be considered similar to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clinical endpoints that require prolonged periods of clinical observation or extended analysis of the resulting data;</w:t>
      </w:r>
    </w:p>
    <w:p>
      <w:pPr>
        <w:spacing w:after="0" w:line="251"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w:t>
      </w:r>
    </w:p>
    <w:p>
      <w:pPr>
        <w:spacing w:after="0" w:line="54"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being unwilling or unable to satisfy their contractual obligations to us in a timely manner.</w:t>
      </w:r>
    </w:p>
    <w:p>
      <w:pPr>
        <w:spacing w:after="0" w:line="18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42"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2" w:name="page43"/>
    <w:bookmarkEnd w:id="42"/>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53"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is being evaluated in an ongoing Phase 1 trial and we intend to advance GlyphAgo into parallel Phase 2a and Phase 2b clinical trials. Our third product candidate, Glyph2BLSD, is in preclinical studies and our other programs are at various stages of discovery and preclinical development.</w:t>
      </w:r>
    </w:p>
    <w:p>
      <w:pPr>
        <w:spacing w:after="0" w:line="14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33"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5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32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w:t>
      </w:r>
    </w:p>
    <w:p>
      <w:pPr>
        <w:spacing w:after="0" w:line="149"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3" w:name="page44"/>
    <w:bookmarkEnd w:id="43"/>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w:t>
      </w:r>
    </w:p>
    <w:p>
      <w:pPr>
        <w:spacing w:after="0" w:line="146"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w:t>
      </w:r>
    </w:p>
    <w:p>
      <w:pPr>
        <w:spacing w:after="0" w:line="14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w:t>
      </w:r>
    </w:p>
    <w:p>
      <w:pPr>
        <w:spacing w:after="0" w:line="140"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320"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may publish privacy policies and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Current or Future Product Candidates</w:t>
      </w:r>
    </w:p>
    <w:p>
      <w:pPr>
        <w:spacing w:after="0" w:line="9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preclinical studies and clinical trials to demonstrate the safety and efficacy of our product candidates in humans before we will be able to obtain these approvals.</w:t>
      </w:r>
    </w:p>
    <w:p>
      <w:pPr>
        <w:spacing w:after="0" w:line="15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current and future product candidates could fail to receive regulatory approval for many reasons, including the following:</w:t>
      </w:r>
    </w:p>
    <w:p>
      <w:pPr>
        <w:spacing w:after="0" w:line="97" w:lineRule="exact"/>
        <w:rPr>
          <w:sz w:val="20"/>
          <w:szCs w:val="20"/>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as to the design or implementation of our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a product candidate is safe and effective for its proposed indication;</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other comparable regulatory authorities for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clinical trials or preclinical studies;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5" w:name="page46"/>
    <w:bookmarkEnd w:id="45"/>
    <w:p>
      <w:pPr>
        <w:ind w:left="1240" w:right="659" w:hanging="251"/>
        <w:spacing w:after="0" w:line="292"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12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46"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2"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 The revisions may, however, have a significant impact on the pharmaceutical industry and our business in the long term.</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The FDA or other comparable regulatory authorities may disagree with our regulatory plan for our product candidates.</w:t>
      </w:r>
    </w:p>
    <w:p>
      <w:pPr>
        <w:spacing w:after="0" w:line="10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spacing w:after="0" w:line="63" w:lineRule="exact"/>
        <w:rPr>
          <w:sz w:val="20"/>
          <w:szCs w:val="20"/>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not file or accept our NDA or marketing application for substantive review;</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the dosing regimen, design, or implementation of our clinical trials;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determine there is not substantial evidence of effectiveness to support approval;</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our product candidates are safe and effective for any of their proposed indications;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may not meet the level of statistical significance required by the FDA or other comparable regulatory authorities for approval;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6" w:name="page47"/>
    <w:bookmarkEnd w:id="46"/>
    <w:p>
      <w:pPr>
        <w:ind w:left="1240" w:hanging="251"/>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preclinical studies or clinical trials;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20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w:t>
      </w:r>
    </w:p>
    <w:p>
      <w:pPr>
        <w:spacing w:after="0" w:line="14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spacing w:after="0" w:line="231"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may not translate to similar results in patients, and results from our initial studies in healthy volunteers may not translate to clinical trials in patients with MDD or GAD.</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w:t>
      </w:r>
    </w:p>
    <w:p>
      <w:pPr>
        <w:spacing w:after="0" w:line="320"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Additionally, we may in the future utilize an “open-label” clinical trial design for certain of our future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7" w:name="page48"/>
    <w:bookmarkEnd w:id="47"/>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other comparable regulatory authority approval.</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incur unexpected costs or experience delays in completing, or ultimately be unable to complete, the development and commercialization of our product candidates.</w:t>
      </w:r>
    </w:p>
    <w:p>
      <w:pPr>
        <w:spacing w:after="0" w:line="3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To obtain the requisite regulatory approvals to commercialize any of our product candidates, we must demonstrate through extensive preclinical studies and clinical trials that our product candidates are safe and effective in humans. We have and may in the future experience delays in our clinical trials or preclinical studies and initiating or completing additional clinical trials or preclinical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w:t>
      </w:r>
    </w:p>
    <w:p>
      <w:pPr>
        <w:spacing w:after="0" w:line="60" w:lineRule="exact"/>
        <w:rPr>
          <w:sz w:val="20"/>
          <w:szCs w:val="20"/>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other reviewing bodies may not authorize us or our investigators to commence a clinical trial, to conduct, or continue a clinical trial at a prospective or specific trial site;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reach agreement on acceptable terms with prospective CROs and clinical trial sites, the terms of which can be subject to extensive negotiation and may vary significantly among different CROs and trial sites;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challenges or delays in recruiting principal investigators or study sites to lead our clinical trials;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54"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65"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5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other comparable regulatory authorities to significantly change in a manner rendering our clinical data insufficient for approval.</w:t>
      </w:r>
    </w:p>
    <w:p>
      <w:pPr>
        <w:spacing w:after="0" w:line="12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8" w:name="page49"/>
    <w:bookmarkEnd w:id="48"/>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31" w:lineRule="exact"/>
        <w:rPr>
          <w:sz w:val="20"/>
          <w:szCs w:val="20"/>
          <w:color w:val="auto"/>
        </w:rPr>
      </w:pPr>
    </w:p>
    <w:p>
      <w:pPr>
        <w:jc w:val="both"/>
        <w:ind w:left="640" w:right="659" w:firstLine="351"/>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57"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42"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 healthy volunteers. We continue to learn more about our product candidates, and unfavorable profiles could lead to adverse outcomes or concerns by the FDA or other comparable regulatory authorities.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3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 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9" w:name="page50"/>
    <w:bookmarkEnd w:id="49"/>
    <w:p>
      <w:pPr>
        <w:jc w:val="both"/>
        <w:ind w:left="640" w:right="659"/>
        <w:spacing w:after="0" w:line="267" w:lineRule="auto"/>
        <w:rPr>
          <w:sz w:val="20"/>
          <w:szCs w:val="20"/>
          <w:color w:val="auto"/>
        </w:rPr>
      </w:pPr>
      <w:r>
        <w:rPr>
          <w:rFonts w:ascii="Times New Roman" w:cs="Times New Roman" w:eastAsia="Times New Roman" w:hAnsi="Times New Roman"/>
          <w:sz w:val="14"/>
          <w:szCs w:val="14"/>
          <w:color w:val="auto"/>
        </w:rPr>
        <w:t>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w:t>
      </w:r>
    </w:p>
    <w:p>
      <w:pPr>
        <w:spacing w:after="0" w:line="315"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spacing w:after="0" w:line="60" w:lineRule="exact"/>
        <w:rPr>
          <w:sz w:val="20"/>
          <w:szCs w:val="20"/>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suspend marketing of a product, or we may decide to remove such product from the marketplace;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change their approvals of a product;</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a product for patients, or to conduct post-marketing studies;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administered;</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fines, injunctions, or the imposition of criminal or civil penalties, or be sued and held liable for harm caused to subjects or patients;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may become less competitive, and our reputation may suffer.</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team expects to rely, in addition to in-house regulatory personnel, on third-party CROs and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0" w:name="page51"/>
    <w:bookmarkEnd w:id="50"/>
    <w:p>
      <w:pPr>
        <w:jc w:val="both"/>
        <w:ind w:left="640" w:right="639"/>
        <w:spacing w:after="0" w:line="274" w:lineRule="auto"/>
        <w:rPr>
          <w:sz w:val="20"/>
          <w:szCs w:val="20"/>
          <w:color w:val="auto"/>
        </w:rPr>
      </w:pPr>
      <w:r>
        <w:rPr>
          <w:rFonts w:ascii="Times New Roman" w:cs="Times New Roman" w:eastAsia="Times New Roman" w:hAnsi="Times New Roman"/>
          <w:sz w:val="14"/>
          <w:szCs w:val="14"/>
          <w:color w:val="auto"/>
        </w:rPr>
        <w:t>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20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40"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28"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59" w:lineRule="exact"/>
        <w:rPr>
          <w:sz w:val="20"/>
          <w:szCs w:val="20"/>
          <w:color w:val="auto"/>
        </w:rPr>
      </w:pPr>
    </w:p>
    <w:p>
      <w:pPr>
        <w:ind w:left="1240" w:hanging="251"/>
        <w:spacing w:after="0"/>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capital resources or capital constraints we experience;</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enroll patients who meet clinical trial eligibility criteria;</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of approvals by the FDA and other comparable regulatory authorities and the timing thereof;</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actions, decisions, or rules issued by regulators;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1" w:name="page52"/>
    <w:bookmarkEnd w:id="51"/>
    <w:p>
      <w:pPr>
        <w:ind w:left="1240" w:hanging="251"/>
        <w:spacing w:after="0"/>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sufficient, reliable and affordable supplies of materials used to manufacture our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of our collaborators with respect to the commercialization of our product candidates; and</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securing of, costs related to, and timing issues associated with, product manufacturing as well as sales and marketing activities.</w:t>
      </w:r>
    </w:p>
    <w:p>
      <w:pPr>
        <w:spacing w:after="0" w:line="124"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If we fail to achieve announced milestones in the timeframes we expect, the development and commercialization of our product candidates may be delayed, and our business, financial condition, and results of operations may be harmed.</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concentrated our research and development efforts on the treatment of disorders of the brain and central nervous system, a field that faces certain challenges in drug development.</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w:t>
      </w:r>
    </w:p>
    <w:p>
      <w:pPr>
        <w:spacing w:after="0" w:line="144"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Patient enrollment is a significant factor impacting the duration of our clinical trials, along with treatment duration and completion of required follow-up periods. 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Patient enrollment is affected by many factors, including:</w:t>
      </w:r>
    </w:p>
    <w:p>
      <w:pPr>
        <w:spacing w:after="0" w:line="97" w:lineRule="exact"/>
        <w:rPr>
          <w:sz w:val="20"/>
          <w:szCs w:val="20"/>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misrepresentation of their eligibility or non-compliance with the clinical trial protocol, resulting in the need to drop such patients from the clinical trial, increase the needed enrollment size for the clinical trial, or extend the clinical trial’s duration;</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new indications for existing therapies or approval of new therapies in general;</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enrollment of prospective patients by clinical trial sites;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2" w:name="page53"/>
    <w:bookmarkEnd w:id="52"/>
    <w:p>
      <w:pPr>
        <w:ind w:left="1240" w:hanging="251"/>
        <w:spacing w:after="0"/>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completion.</w:t>
      </w:r>
    </w:p>
    <w:p>
      <w:pPr>
        <w:spacing w:after="0" w:line="183"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321"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3" w:name="page54"/>
    <w:bookmarkEnd w:id="53"/>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4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w:t>
      </w:r>
      <w:r>
        <w:rPr>
          <w:rFonts w:ascii="Times New Roman" w:cs="Times New Roman" w:eastAsia="Times New Roman" w:hAnsi="Times New Roman"/>
          <w:sz w:val="7"/>
          <w:szCs w:val="7"/>
          <w:color w:val="auto"/>
        </w:rPr>
        <w:t>TM</w:t>
      </w:r>
      <w:r>
        <w:rPr>
          <w:rFonts w:ascii="Times New Roman" w:cs="Times New Roman" w:eastAsia="Times New Roman" w:hAnsi="Times New Roman"/>
          <w:sz w:val="14"/>
          <w:szCs w:val="14"/>
          <w:color w:val="auto"/>
        </w:rPr>
        <w:t>, in development for the treatment of depressive disorders, including treatment-resistant depression, or TRD, post-traumatic stress disorder, or PTSD, and headache disorders,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 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55"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w:t>
      </w:r>
    </w:p>
    <w:p>
      <w:pPr>
        <w:spacing w:after="0" w:line="149"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29" w:lineRule="exact"/>
        <w:rPr>
          <w:sz w:val="20"/>
          <w:szCs w:val="20"/>
          <w:color w:val="auto"/>
        </w:rPr>
      </w:pPr>
    </w:p>
    <w:p>
      <w:pPr>
        <w:ind w:left="1240" w:right="659" w:hanging="251"/>
        <w:spacing w:after="0" w:line="292"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the product, including as compared to any more-established products or other alternative products that may later be approved;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the product compared to competitive therapies;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indications for which the product is approved, if any;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product is designated under physician treatment guidelines as a first-, second- or third-line therapy;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any future collaborators, to offer the product for sale at competitive prices;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convenience and ease of administration compared to alternative treatments;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all, or a portion of, out-of-pocket costs associated with the product in the absence of sufficient third-party coverage and adequate reimbursement;</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acceptance into standard of care treatment algorithms by medical societies that could limit payor and physician uptake;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including distribution or use restrictions contained in the product’s approved labeling;</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sales, marketing, and distribution support;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the product;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4" w:name="page55"/>
    <w:bookmarkEnd w:id="54"/>
    <w:p>
      <w:pPr>
        <w:ind w:left="1240" w:right="659" w:hanging="251"/>
        <w:spacing w:after="0" w:line="292" w:lineRule="auto"/>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adequacy of coverage and reimbursement from government payors, managed care plans, and other third-party payors, including any price concessions required by third-party payors to obtain coverage;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relating to the product, or favorable publicity about competitive products.</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failure by one or more of our product candidates that obtains regulatory approval to achieve market acceptance or commercial success would adversely affect our business prospects.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preclinical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54" w:lineRule="exact"/>
        <w:rPr>
          <w:sz w:val="20"/>
          <w:szCs w:val="20"/>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methodology used may not be successful in identifying potential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alternatives that render our product candidates obsolete;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that we develop may nevertheless be covered by third parties’ patents or other exclusive rights;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on further study, be shown to have harmful side effects or other characteristics that indicate it is unlikely to be effective or otherwise does not meet applicable regulatory criteria;</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capable of being produced in commercial quantities at an acceptable cost, or at all;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accepted as safe and effective by patients, the medical community or third-party payors.</w:t>
      </w:r>
    </w:p>
    <w:p>
      <w:pPr>
        <w:spacing w:after="0" w:line="183"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addition, future acquisitions may entail numerous operational and financial risks, including:</w:t>
      </w:r>
    </w:p>
    <w:p>
      <w:pPr>
        <w:spacing w:after="0" w:line="97" w:lineRule="exact"/>
        <w:rPr>
          <w:sz w:val="20"/>
          <w:szCs w:val="20"/>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unknown liabilities;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business and diversion of management’s time and attention to develop acquired products or technologies;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substantial debt, dilutive issuances of securities or depletion of cash to pay for acquisitions;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acquisition and integration costs;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combining the operations and personnel of any acquired businesses with our operations and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5" w:name="page56"/>
    <w:bookmarkEnd w:id="55"/>
    <w:p>
      <w:pPr>
        <w:ind w:left="1240" w:right="659" w:hanging="251"/>
        <w:spacing w:after="0" w:line="292" w:lineRule="auto"/>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relationships with key suppliers or customers of any acquired businesses due to changes in management and ownership;</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entering new markets in which we have limited or no experience;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motivate key employees of any acquired businesses.</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206"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5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w:t>
      </w:r>
    </w:p>
    <w:p>
      <w:pPr>
        <w:spacing w:after="0" w:line="234"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5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6" w:name="page57"/>
    <w:bookmarkEnd w:id="56"/>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3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4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46"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97" w:lineRule="exact"/>
        <w:rPr>
          <w:sz w:val="20"/>
          <w:szCs w:val="20"/>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adequate numbers of effective sales and marketing personnel;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or our failure to educate an adequate number of physicians on the benefits of any future products;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7" w:name="page58"/>
    <w:bookmarkEnd w:id="57"/>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 If we do not establish sales and marketing capabilities successfully, either on our own or in collaboration with third parties, we will not be successful in commercializing our product candidates.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organization, and as a result, we may encounter difficulties in managing our growth, which could disrupt our operations.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of March 31, 2026, we had 58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31"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develop product candidates, leverage our Glyph platform and our future growth depends on attracting, hiring, and retaining our key personnel and recruiting additional qualified personnel.</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32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5"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5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relied upon and plan to continue to rely on third parties, such as CROs, clinical data management organizations, medical institutions and clinical investigators, to conduct our clinical trials and preclinical studies and expect to rely on these third parties to conduct clinical trials and preclinical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31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w:t>
      </w:r>
    </w:p>
    <w:p>
      <w:pPr>
        <w:spacing w:after="0" w:line="31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36"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59" w:name="page60"/>
    <w:bookmarkEnd w:id="59"/>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impact our ability to meet our expected clinical development timelines and harm our business, financial condition, results of operations, and prospects.</w:t>
      </w:r>
    </w:p>
    <w:p>
      <w:pPr>
        <w:spacing w:after="0" w:line="12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230"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p>
    <w:p>
      <w:pPr>
        <w:spacing w:after="0" w:line="48"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w:t>
      </w:r>
    </w:p>
    <w:p>
      <w:pPr>
        <w:spacing w:after="0" w:line="136"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Even if we are able to establish and maintain arrangements with third-party manufacturers, reliance on third-party manufacturers entails additional risks,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comply with applicable regulatory requirements and reliance on third parties for manufacturing process development, regulatory compliance, and quality assurance;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 parties;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produce materials with acceptable quality on a larger scale;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0" w:name="page61"/>
    <w:bookmarkEnd w:id="60"/>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third parties because of factors beyond our control;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the third party, at a time that is costly or inconvenient to us;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183"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w:t>
      </w:r>
    </w:p>
    <w:p>
      <w:pPr>
        <w:spacing w:after="0" w:line="142"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53"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5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1" w:name="page62"/>
    <w:bookmarkEnd w:id="61"/>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3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4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2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2" w:name="page63"/>
    <w:bookmarkEnd w:id="62"/>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enter into collaborations with third parties for the development and/or commercialization of our product candidates, our prospects with respect to those product candidates will depend in significant part on the success of those collaborations.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Collaborations involving our product candidates pose a number of risks, including the following:</w:t>
      </w:r>
    </w:p>
    <w:p>
      <w:pPr>
        <w:spacing w:after="0" w:line="97" w:lineRule="exact"/>
        <w:rPr>
          <w:sz w:val="20"/>
          <w:szCs w:val="20"/>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products may not commit sufficient resources to the marketing and distribution of such product or products;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65"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product candidates.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218"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48"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2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8"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w:t>
      </w:r>
    </w:p>
    <w:p>
      <w:pPr>
        <w:spacing w:after="0" w:line="317"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4" w:name="page65"/>
    <w:bookmarkEnd w:id="64"/>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58" w:lineRule="exact"/>
        <w:rPr>
          <w:sz w:val="20"/>
          <w:szCs w:val="20"/>
          <w:color w:val="auto"/>
        </w:rPr>
      </w:pPr>
    </w:p>
    <w:p>
      <w:pPr>
        <w:ind w:left="1240" w:right="659" w:hanging="251"/>
        <w:spacing w:after="0" w:line="292" w:lineRule="auto"/>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product recalls;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withdrawal of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8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3"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3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32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5" w:name="page66"/>
    <w:bookmarkEnd w:id="65"/>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2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3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may secure approval from the FDA or other comparable regulatory authorities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p>
    <w:p>
      <w:pPr>
        <w:spacing w:after="0" w:line="5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4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Prior to seeking accelerated approval, we would seek feedback from the FDA or other comparable regulatory authorities and would otherwise evaluate our ability to seek and receive such accelerated approval.</w:t>
      </w:r>
    </w:p>
    <w:p>
      <w:pPr>
        <w:spacing w:after="0" w:line="12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6" w:name="page67"/>
    <w:bookmarkEnd w:id="66"/>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w:t>
      </w:r>
    </w:p>
    <w:p>
      <w:pPr>
        <w:spacing w:after="0" w:line="14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For any of our product candidates that may be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200" w:lineRule="exact"/>
        <w:rPr>
          <w:sz w:val="20"/>
          <w:szCs w:val="20"/>
          <w:color w:val="auto"/>
        </w:rPr>
      </w:pPr>
    </w:p>
    <w:p>
      <w:pPr>
        <w:spacing w:after="0" w:line="208" w:lineRule="exact"/>
        <w:rPr>
          <w:sz w:val="20"/>
          <w:szCs w:val="20"/>
          <w:color w:val="auto"/>
        </w:rPr>
      </w:pPr>
    </w:p>
    <w:p>
      <w:pPr>
        <w:jc w:val="both"/>
        <w:ind w:left="640" w:right="63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in our IPO 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7" w:name="page68"/>
    <w:bookmarkEnd w:id="67"/>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w:t>
      </w:r>
    </w:p>
    <w:p>
      <w:pPr>
        <w:spacing w:after="0" w:line="14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our business practices or operations are found to be in violation of any of fraud and abuse, or other healthcare laws or governmental laws, regulations, agency guidance, or case law that may apply to us, we may be 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31"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p>
    <w:p>
      <w:pPr>
        <w:spacing w:after="0" w:line="53"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50" w:lineRule="exact"/>
        <w:rPr>
          <w:sz w:val="20"/>
          <w:szCs w:val="20"/>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83"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8" w:name="page69"/>
    <w:bookmarkEnd w:id="68"/>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Even if we obtain coverage for a given product, if approved, the resulting reimbursement payment rates might not be adequate for us to achieve or sustain profitability or may require cost-sharing (e.g., co-payments or 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55"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 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w:t>
      </w:r>
    </w:p>
    <w:p>
      <w:pPr>
        <w:spacing w:after="0" w:line="149"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49"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5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14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9" w:name="page70"/>
    <w:bookmarkEnd w:id="69"/>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224"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spacing w:after="0" w:line="14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w:t>
      </w:r>
    </w:p>
    <w:p>
      <w:pPr>
        <w:spacing w:after="0" w:line="31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0" w:name="page71"/>
    <w:bookmarkEnd w:id="70"/>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w:t>
      </w:r>
    </w:p>
    <w:p>
      <w:pPr>
        <w:spacing w:after="0" w:line="147"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47"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5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1" w:name="page72"/>
    <w:bookmarkEnd w:id="71"/>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49"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affected by litigation, government investigations and enforcement actions.</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00" w:lineRule="exact"/>
        <w:rPr>
          <w:sz w:val="20"/>
          <w:szCs w:val="20"/>
          <w:color w:val="auto"/>
        </w:rPr>
      </w:pPr>
    </w:p>
    <w:p>
      <w:pPr>
        <w:spacing w:after="0" w:line="20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2" w:name="page73"/>
    <w:bookmarkEnd w:id="72"/>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FDA and other comparable regulatory authorities actively enforce the laws and regulations prohibiting the promotion of off-label uses.</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31"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EU drug marketing and reimbursement regulations may materially affect our ability to market and receive coverage for our products in the EU Member States.</w:t>
      </w:r>
    </w:p>
    <w:p>
      <w:pPr>
        <w:spacing w:after="0" w:line="34"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3" w:name="page74"/>
    <w:bookmarkEnd w:id="73"/>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40"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2"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3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4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4" w:name="page75"/>
    <w:bookmarkEnd w:id="74"/>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3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53"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w:t>
      </w:r>
    </w:p>
    <w:p>
      <w:pPr>
        <w:spacing w:after="0" w:line="14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 to protect our product candidates or otherwise provide any competitive advantage. Other parties have developed or may develop technologies that may be related to or competitive with our approach, and may have filed or may file patent applications and may have been issued 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75" w:name="page76"/>
    <w:bookmarkEnd w:id="75"/>
    <w:p>
      <w:pPr>
        <w:jc w:val="both"/>
        <w:ind w:left="640" w:right="659"/>
        <w:spacing w:after="0" w:line="261" w:lineRule="auto"/>
        <w:rPr>
          <w:sz w:val="20"/>
          <w:szCs w:val="20"/>
          <w:color w:val="auto"/>
        </w:rPr>
      </w:pPr>
      <w:r>
        <w:rPr>
          <w:rFonts w:ascii="Times New Roman" w:cs="Times New Roman" w:eastAsia="Times New Roman" w:hAnsi="Times New Roman"/>
          <w:sz w:val="14"/>
          <w:szCs w:val="14"/>
          <w:color w:val="auto"/>
        </w:rPr>
        <w:t>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w:t>
      </w:r>
    </w:p>
    <w:p>
      <w:pPr>
        <w:spacing w:after="0" w:line="31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w:t>
      </w:r>
    </w:p>
    <w:p>
      <w:pPr>
        <w:spacing w:after="0" w:line="14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36" w:lineRule="exact"/>
        <w:rPr>
          <w:sz w:val="20"/>
          <w:szCs w:val="20"/>
          <w:color w:val="auto"/>
        </w:rPr>
      </w:pPr>
    </w:p>
    <w:p>
      <w:pPr>
        <w:jc w:val="both"/>
        <w:ind w:left="640" w:right="639" w:firstLine="351"/>
        <w:spacing w:after="0" w:line="257" w:lineRule="auto"/>
        <w:rPr>
          <w:sz w:val="20"/>
          <w:szCs w:val="20"/>
          <w:color w:val="auto"/>
        </w:rPr>
      </w:pPr>
      <w:r>
        <w:rPr>
          <w:rFonts w:ascii="Times New Roman" w:cs="Times New Roman" w:eastAsia="Times New Roman" w:hAnsi="Times New Roman"/>
          <w:sz w:val="14"/>
          <w:szCs w:val="14"/>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w:t>
      </w:r>
    </w:p>
    <w:p>
      <w:pPr>
        <w:spacing w:after="0" w:line="15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patent position of pharmaceutical and biotechnology companies carries uncertainty. As a result, the issuance, scope, validity, enforceability and commercial value of our patent rights are characterized by uncertainty.</w:t>
      </w:r>
    </w:p>
    <w:p>
      <w:pPr>
        <w:spacing w:after="0" w:line="12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6" w:name="page77"/>
    <w:bookmarkEnd w:id="76"/>
    <w:p>
      <w:pPr>
        <w:jc w:val="both"/>
        <w:ind w:left="640" w:right="659"/>
        <w:spacing w:after="0" w:line="263" w:lineRule="auto"/>
        <w:rPr>
          <w:sz w:val="20"/>
          <w:szCs w:val="20"/>
          <w:color w:val="auto"/>
        </w:rPr>
      </w:pPr>
      <w:r>
        <w:rPr>
          <w:rFonts w:ascii="Times New Roman" w:cs="Times New Roman" w:eastAsia="Times New Roman" w:hAnsi="Times New Roman"/>
          <w:sz w:val="14"/>
          <w:szCs w:val="14"/>
          <w:color w:val="auto"/>
        </w:rPr>
        <w:t>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4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55"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 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w:t>
      </w:r>
    </w:p>
    <w:p>
      <w:pPr>
        <w:spacing w:after="0" w:line="3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50" w:lineRule="exact"/>
        <w:rPr>
          <w:sz w:val="20"/>
          <w:szCs w:val="20"/>
          <w:color w:val="auto"/>
        </w:rPr>
      </w:pPr>
    </w:p>
    <w:p>
      <w:pPr>
        <w:jc w:val="both"/>
        <w:ind w:left="1240" w:right="659" w:hanging="251"/>
        <w:spacing w:after="0" w:line="265"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5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applications may not result in any patents being issued, or even if issued may not provide adequate patent coverage to prevent a competitor from developing a competing product or otherwise provide us with any competitive advantage;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some of which may have substantially greater resources, may seek or may have already obtained patents that will limit, interfere with or eliminate our ability to make, use, and sell our product candidates, if approved;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7" w:name="page78"/>
    <w:bookmarkEnd w:id="77"/>
    <w:p>
      <w:pPr>
        <w:jc w:val="both"/>
        <w:ind w:left="1240" w:right="659" w:hanging="251"/>
        <w:spacing w:after="0" w:line="274"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United States may have patent laws less favorable to patentees than those upheld by U.S. courts, allowing foreign competitors a better opportunity to create, develop and market competing products;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 and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also be delays at the USPTO caused by staffing cuts and other U.S. government actions as a result of the U.S. Department of Government Efficiency or other executive actions to reduce the size of the U.S. government.</w:t>
      </w:r>
    </w:p>
    <w:p>
      <w:pPr>
        <w:spacing w:after="0" w:line="12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42"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200" w:lineRule="exact"/>
        <w:rPr>
          <w:sz w:val="20"/>
          <w:szCs w:val="20"/>
          <w:color w:val="auto"/>
        </w:rPr>
      </w:pPr>
    </w:p>
    <w:p>
      <w:pPr>
        <w:spacing w:after="0" w:line="203"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p>
    <w:p>
      <w:pPr>
        <w:spacing w:after="0" w:line="4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w:t>
      </w:r>
    </w:p>
    <w:p>
      <w:pPr>
        <w:spacing w:after="0" w:line="142"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w:t>
      </w:r>
    </w:p>
    <w:p>
      <w:pPr>
        <w:spacing w:after="0" w:line="31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As noted above, the Monash License Agreement imposes, and we expect that future license agreements will impose, diligence obligations, milestone and royalty payments, indemnification and other obligations on us. If we 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8" w:name="page79"/>
    <w:bookmarkEnd w:id="78"/>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w:t>
      </w:r>
    </w:p>
    <w:p>
      <w:pPr>
        <w:spacing w:after="0" w:line="144"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Disputes may arise between us and our current or future licensors regarding intellectual property subject to a license agreement, including:</w:t>
      </w:r>
    </w:p>
    <w:p>
      <w:pPr>
        <w:spacing w:after="0" w:line="38" w:lineRule="exact"/>
        <w:rPr>
          <w:sz w:val="20"/>
          <w:szCs w:val="20"/>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or other obligations under the license agreement;</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misappropriate or otherwise violate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current or future licensors and us and our partners;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 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9" w:name="page80"/>
    <w:bookmarkEnd w:id="79"/>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4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w:t>
      </w:r>
    </w:p>
    <w:p>
      <w:pPr>
        <w:spacing w:after="0" w:line="151"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0" w:name="page81"/>
    <w:bookmarkEnd w:id="80"/>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It is difficult and costly to protect our intellectual property and our proprietary technologies, and we may not be able to ensure their protection.</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w:t>
      </w:r>
    </w:p>
    <w:p>
      <w:pPr>
        <w:spacing w:after="0" w:line="140"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51"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8" w:lineRule="exact"/>
        <w:rPr>
          <w:sz w:val="20"/>
          <w:szCs w:val="20"/>
          <w:color w:val="auto"/>
        </w:rPr>
      </w:pPr>
    </w:p>
    <w:p>
      <w:pPr>
        <w:ind w:left="1240" w:right="659" w:hanging="251"/>
        <w:spacing w:after="0" w:line="292"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generate sufficient data to support full patent applications that protect the entire breadth of developments in one or more of our programs;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w:t>
      </w:r>
    </w:p>
    <w:p>
      <w:pPr>
        <w:spacing w:after="0" w:line="50"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pending applications issue as patents, they may be challenged by third parties as invalid or unenforceable under United States or foreign laws;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successfully commercialize our product candidates, if approved, before our relevant patents expire;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the first to file patent applications for the inventions covered by our patent portfolio; or</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separately patentable.</w:t>
      </w:r>
    </w:p>
    <w:p>
      <w:pPr>
        <w:spacing w:after="0" w:line="183"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products for an adequate amount of time.</w:t>
      </w:r>
    </w:p>
    <w:p>
      <w:pPr>
        <w:spacing w:after="0" w:line="10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1" w:name="page82"/>
    <w:bookmarkEnd w:id="81"/>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2" w:name="page83"/>
    <w:bookmarkEnd w:id="82"/>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47"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cs="Times New Roman" w:eastAsia="Times New Roman" w:hAnsi="Times New Roman"/>
          <w:sz w:val="14"/>
          <w:szCs w:val="14"/>
          <w:i w:val="1"/>
          <w:iCs w:val="1"/>
          <w:color w:val="auto"/>
        </w:rPr>
        <w:t>In re Cellect, LLC</w:t>
      </w:r>
      <w:r>
        <w:rPr>
          <w:rFonts w:ascii="Times New Roman" w:cs="Times New Roman" w:eastAsia="Times New Roman" w:hAnsi="Times New Roman"/>
          <w:sz w:val="14"/>
          <w:szCs w:val="14"/>
          <w:color w:val="auto"/>
        </w:rPr>
        <w:t xml:space="preserve"> involving the interaction of patent term adjustment, or PTA, terminal disclaimers, and obviousness-type double patenting which may affect 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w:t>
      </w:r>
    </w:p>
    <w:p>
      <w:pPr>
        <w:spacing w:after="0" w:line="149"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seek or obtain patent protection throughout the world or enforce such patent protection once obtained.</w:t>
      </w:r>
    </w:p>
    <w:p>
      <w:pPr>
        <w:spacing w:after="0" w:line="10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w:t>
      </w:r>
    </w:p>
    <w:p>
      <w:pPr>
        <w:spacing w:after="0" w:line="14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3" w:name="page84"/>
    <w:bookmarkEnd w:id="83"/>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4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42"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w:t>
      </w:r>
    </w:p>
    <w:p>
      <w:pPr>
        <w:spacing w:after="0" w:line="22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w:t>
      </w:r>
    </w:p>
    <w:p>
      <w:pPr>
        <w:spacing w:after="0" w:line="15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4" w:name="page85"/>
    <w:bookmarkEnd w:id="84"/>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w:t>
      </w:r>
    </w:p>
    <w:p>
      <w:pPr>
        <w:spacing w:after="0" w:line="224" w:lineRule="exact"/>
        <w:rPr>
          <w:sz w:val="20"/>
          <w:szCs w:val="20"/>
          <w:color w:val="auto"/>
        </w:rPr>
      </w:pPr>
    </w:p>
    <w:p>
      <w:pPr>
        <w:jc w:val="both"/>
        <w:ind w:left="640" w:right="63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sued for infringing intellectual property rights of third parties, such litigation could be costly and time consuming and could prevent or delay us from developing or commercializing current and future product candidates.</w:t>
      </w:r>
    </w:p>
    <w:p>
      <w:pPr>
        <w:spacing w:after="0" w:line="3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w:t>
      </w:r>
    </w:p>
    <w:p>
      <w:pPr>
        <w:spacing w:after="0" w:line="151"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technology platform as a result of patent infringement claims asserted against us. This could have a material adverse effect on our business.</w:t>
      </w:r>
    </w:p>
    <w:p>
      <w:pPr>
        <w:spacing w:after="0" w:line="147"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5" w:name="page86"/>
    <w:bookmarkEnd w:id="85"/>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49"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w:t>
      </w:r>
    </w:p>
    <w:p>
      <w:pPr>
        <w:spacing w:after="0" w:line="54" w:lineRule="exact"/>
        <w:rPr>
          <w:sz w:val="20"/>
          <w:szCs w:val="20"/>
          <w:color w:val="auto"/>
        </w:rPr>
      </w:pPr>
    </w:p>
    <w:p>
      <w:pPr>
        <w:ind w:left="1240" w:right="659" w:hanging="251"/>
        <w:spacing w:after="0" w:line="292" w:lineRule="auto"/>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stop selling, manufacturing or using our products in the United States or other jurisdictions that use the intellectual property at issue;</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those products or processes that use any allegedly infringing or misappropriated technology, which may result in significant cost or delay to us, or which redesign could be technically infeasible; or</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damages, including the possibility of treble damages in a patent case if a court finds us to have willfully infringed certain intellectual property rights.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7"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6" w:name="page87"/>
    <w:bookmarkEnd w:id="86"/>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intellectual property litigation could lead to unfavorable publicity that could harm our reputation and cause the market price of our common stock to decline.</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or we have misappropriated intellectual property from a competitor or third parties or claiming ownership of what we regard as our own intellectual property.</w:t>
      </w:r>
    </w:p>
    <w:p>
      <w:pPr>
        <w:spacing w:after="0" w:line="34"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w:t>
      </w:r>
    </w:p>
    <w:p>
      <w:pPr>
        <w:spacing w:after="0" w:line="317"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w:t>
      </w:r>
    </w:p>
    <w:p>
      <w:pPr>
        <w:spacing w:after="0" w:line="226" w:lineRule="exact"/>
        <w:rPr>
          <w:sz w:val="20"/>
          <w:szCs w:val="20"/>
          <w:color w:val="auto"/>
        </w:rPr>
      </w:pPr>
    </w:p>
    <w:p>
      <w:pPr>
        <w:jc w:val="both"/>
        <w:ind w:left="640" w:right="63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the value of our technology could be materially adversely affected and our business would be harmed.</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maybe available to us, those defenses may not be available to a commercial partner or acquiror.</w:t>
      </w:r>
    </w:p>
    <w:p>
      <w:pPr>
        <w:spacing w:after="0" w:line="32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7" w:name="page88"/>
    <w:bookmarkEnd w:id="87"/>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of theft of trade secrets, including through direct intrusion by private parties or foreign actors, and those affiliated with or controlled by state actors.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34"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213"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collaboration arrangements that we may enter into in the future may not be successful, which could adversely affect our ability to develop and commercialize our products.</w:t>
      </w:r>
    </w:p>
    <w:p>
      <w:pPr>
        <w:spacing w:after="0" w:line="3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38" w:lineRule="exact"/>
        <w:rPr>
          <w:sz w:val="20"/>
          <w:szCs w:val="20"/>
          <w:color w:val="auto"/>
        </w:rPr>
      </w:pPr>
    </w:p>
    <w:p>
      <w:pPr>
        <w:ind w:left="1240" w:right="659" w:hanging="251"/>
        <w:spacing w:after="0" w:line="292"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54"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8" w:name="page89"/>
    <w:bookmarkEnd w:id="88"/>
    <w:p>
      <w:pPr>
        <w:ind w:left="1240" w:right="659" w:hanging="251"/>
        <w:spacing w:after="0" w:line="292"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 or products;</w:t>
      </w:r>
    </w:p>
    <w:p>
      <w:pPr>
        <w:spacing w:after="0" w:line="37" w:lineRule="exact"/>
        <w:rPr>
          <w:rFonts w:ascii="Times New Roman" w:cs="Times New Roman" w:eastAsia="Times New Roman" w:hAnsi="Times New Roman"/>
          <w:sz w:val="14"/>
          <w:szCs w:val="14"/>
          <w:color w:val="auto"/>
        </w:rPr>
      </w:pPr>
    </w:p>
    <w:p>
      <w:pPr>
        <w:jc w:val="both"/>
        <w:ind w:left="1240" w:right="639" w:hanging="251"/>
        <w:spacing w:after="0" w:line="268"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may not be sustained for our common stock.</w:t>
      </w:r>
    </w:p>
    <w:p>
      <w:pPr>
        <w:spacing w:after="0" w:line="10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Although our common stock is listed on The Nasdaq Global Select Market, an active or liquid market in our common stock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3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may be volatile, and you could lose all or part of your investment.</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trading price of our common stock is highly volatile and could be subject to wide fluctuations in response to various factors, some of which are beyond our control, including limited trading volume. In addition to the factors discussed in this section and elsewhere in this Quarterly Report on Form 10-Q, these factors include:</w:t>
      </w:r>
    </w:p>
    <w:p>
      <w:pPr>
        <w:spacing w:after="0" w:line="50" w:lineRule="exact"/>
        <w:rPr>
          <w:sz w:val="20"/>
          <w:szCs w:val="20"/>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completion, or results of our current or future preclinical and clinical trials for our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identifying and advancing a clinical candidate for our other programs;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or delays, suspensions, or terminations in future preclinical studies or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failure to receive regulatory approval of our product candidates, or the failure of a regulatory authority to accept data from preclinical studies or clinical trials conducted in other countries;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product candidates, including but not limited to clinical trial requirements for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the healthcare payment systems;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adequate product supply for any approved product or inability to do so at acceptable prices;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establish strategic partnerships or collaborations, if needed;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commercialize our product candidates, if approved;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any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offered by us or our competitors;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9" w:name="page90"/>
    <w:bookmarkEnd w:id="89"/>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that we may otherwise provide to the public;</w:t>
      </w:r>
    </w:p>
    <w:p>
      <w:pPr>
        <w:spacing w:after="0" w:line="251"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product candidates in particular, or positive or negative recommendations or withdrawal of research coverage by securities analysts;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controls;</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183"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39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w:t>
      </w:r>
    </w:p>
    <w:p>
      <w:pPr>
        <w:spacing w:after="0" w:line="3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due to a variety of factors, many of which are outside of our control and may be difficult to predict,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and, if approved, commercialization activities relating to our current and future product candidates, which may change from time to time;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status of enrollment for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as well as building out our supply chain, which may vary depending on the quantity of production and the terms of our agreements with manufacturers;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may incur to acquire, develop, or commercialize additional product candidates and technologies;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amount of any milestone, royalty, or other payments due under any collaboration or license agreement, including the Asset Transfer Agreement and/or the Monash License Agreement;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receipt of approvals for our product candidates from regulatory authorities in the United States and internationally;</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fluctuations;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90" w:name="page91"/>
    <w:bookmarkEnd w:id="90"/>
    <w:p>
      <w:pPr>
        <w:ind w:left="1240" w:right="659" w:hanging="251"/>
        <w:spacing w:after="0" w:line="292"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and reimbursement policies with respect to our product candidates, if approved, and potential future drugs that compete with our products;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if approved, which may vary significantly over time.</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26" w:lineRule="exact"/>
        <w:rPr>
          <w:sz w:val="20"/>
          <w:szCs w:val="20"/>
          <w:color w:val="auto"/>
        </w:rPr>
      </w:pPr>
    </w:p>
    <w:p>
      <w:pPr>
        <w:ind w:left="640" w:right="679" w:firstLine="516"/>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120" w:lineRule="exact"/>
        <w:rPr>
          <w:sz w:val="20"/>
          <w:szCs w:val="20"/>
          <w:color w:val="auto"/>
        </w:rPr>
      </w:pPr>
    </w:p>
    <w:p>
      <w:pPr>
        <w:ind w:left="640" w:right="699" w:firstLine="516"/>
        <w:spacing w:after="0" w:line="260" w:lineRule="auto"/>
        <w:rPr>
          <w:sz w:val="20"/>
          <w:szCs w:val="20"/>
          <w:color w:val="auto"/>
        </w:rPr>
      </w:pPr>
      <w:r>
        <w:rPr>
          <w:rFonts w:ascii="Times New Roman" w:cs="Times New Roman" w:eastAsia="Times New Roman" w:hAnsi="Times New Roman"/>
          <w:sz w:val="14"/>
          <w:szCs w:val="14"/>
          <w:color w:val="auto"/>
        </w:rPr>
        <w:t>Our executive officers, directors, principal stockholders, and their respective affiliates collectively own a significant percentage of our outstanding stock. As a result, any stockholders who own more than 5% or more of our capital stock,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could cause our stock price to fall.</w:t>
      </w:r>
    </w:p>
    <w:p>
      <w:pPr>
        <w:spacing w:after="0" w:line="101" w:lineRule="exact"/>
        <w:rPr>
          <w:sz w:val="20"/>
          <w:szCs w:val="20"/>
          <w:color w:val="auto"/>
        </w:rPr>
      </w:pPr>
    </w:p>
    <w:p>
      <w:pPr>
        <w:ind w:left="640" w:right="719" w:firstLine="516"/>
        <w:spacing w:after="0" w:line="274" w:lineRule="auto"/>
        <w:rPr>
          <w:sz w:val="20"/>
          <w:szCs w:val="20"/>
          <w:color w:val="auto"/>
        </w:rPr>
      </w:pPr>
      <w:r>
        <w:rPr>
          <w:rFonts w:ascii="Times New Roman" w:cs="Times New Roman" w:eastAsia="Times New Roman" w:hAnsi="Times New Roman"/>
          <w:sz w:val="14"/>
          <w:szCs w:val="14"/>
          <w:color w:val="auto"/>
        </w:rPr>
        <w:t>Our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50" w:lineRule="exact"/>
        <w:rPr>
          <w:sz w:val="20"/>
          <w:szCs w:val="20"/>
          <w:color w:val="auto"/>
        </w:rPr>
      </w:pPr>
    </w:p>
    <w:p>
      <w:pPr>
        <w:ind w:left="640" w:right="659" w:firstLine="516"/>
        <w:spacing w:after="0" w:line="260" w:lineRule="auto"/>
        <w:rPr>
          <w:sz w:val="20"/>
          <w:szCs w:val="20"/>
          <w:color w:val="auto"/>
        </w:rPr>
      </w:pPr>
      <w:r>
        <w:rPr>
          <w:rFonts w:ascii="Times New Roman" w:cs="Times New Roman" w:eastAsia="Times New Roman" w:hAnsi="Times New Roman"/>
          <w:sz w:val="14"/>
          <w:szCs w:val="14"/>
          <w:color w:val="auto"/>
        </w:rPr>
        <w:t>All shares of common stock sold in our IPO are be freely tradable without restriction or further registration under the Securities Act of 1933, as amended, or the Securities Act, unless held by our “affiliates” as defined in Rule 144 under the Securities Act. The resale of the remaining 38,029,523 shares, or 98% of our outstanding shares of common stock following our IPO,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the IPO. However, subject to applicable securities law restrictions, these shares will be able to be sold in the public market beginning on the 181</w:t>
      </w:r>
      <w:r>
        <w:rPr>
          <w:rFonts w:ascii="Times New Roman" w:cs="Times New Roman" w:eastAsia="Times New Roman" w:hAnsi="Times New Roman"/>
          <w:sz w:val="10"/>
          <w:szCs w:val="10"/>
          <w:color w:val="auto"/>
        </w:rPr>
        <w:t>st</w:t>
      </w:r>
      <w:r>
        <w:rPr>
          <w:rFonts w:ascii="Times New Roman" w:cs="Times New Roman" w:eastAsia="Times New Roman" w:hAnsi="Times New Roman"/>
          <w:sz w:val="14"/>
          <w:szCs w:val="14"/>
          <w:color w:val="auto"/>
        </w:rPr>
        <w:t xml:space="preserve"> day after the date of our IPO.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60" w:lineRule="exact"/>
        <w:rPr>
          <w:sz w:val="20"/>
          <w:szCs w:val="20"/>
          <w:color w:val="auto"/>
        </w:rPr>
      </w:pPr>
    </w:p>
    <w:p>
      <w:pPr>
        <w:ind w:left="640" w:right="739" w:firstLine="516"/>
        <w:spacing w:after="0" w:line="274" w:lineRule="auto"/>
        <w:rPr>
          <w:sz w:val="20"/>
          <w:szCs w:val="20"/>
          <w:color w:val="auto"/>
        </w:rPr>
      </w:pPr>
      <w:r>
        <w:rPr>
          <w:rFonts w:ascii="Times New Roman" w:cs="Times New Roman" w:eastAsia="Times New Roman" w:hAnsi="Times New Roman"/>
          <w:sz w:val="14"/>
          <w:szCs w:val="14"/>
          <w:color w:val="auto"/>
        </w:rPr>
        <w:t>In addition, in the future, we may issue additional shares of common stock, or other equity or debt securities convertible into common stock, in connection with a financing, acquisition, employee arrangement, or otherwise. Any such issuance could result insubstantial dilution to our existing stockholders and could cause the price of our common stock to decline.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91" w:name="page92"/>
    <w:bookmarkEnd w:id="91"/>
    <w:p>
      <w:pPr>
        <w:ind w:left="640" w:right="999" w:firstLine="516"/>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stock incentive plans or otherwise will dilute all other stockholders.</w:t>
      </w:r>
    </w:p>
    <w:p>
      <w:pPr>
        <w:spacing w:after="0" w:line="120"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w:t>
      </w:r>
    </w:p>
    <w:p>
      <w:pPr>
        <w:spacing w:after="0" w:line="224"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48"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5" w:lineRule="exact"/>
        <w:rPr>
          <w:sz w:val="20"/>
          <w:szCs w:val="20"/>
          <w:color w:val="auto"/>
        </w:rPr>
      </w:pPr>
    </w:p>
    <w:p>
      <w:pPr>
        <w:ind w:left="1240" w:hanging="251"/>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only one of three classes of directors is elected each year;</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our board of directors;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nominations to our board of directors;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must be effected at a duly called stockholder meeting and prohibit actions by our stockholders by written consent;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not less than two-thirds of the votes that all our stockholders would be entitled to cast to amend or repeal specified provisions of our amended and restated certificate of incorporation or amended and restated bylaws.</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8" w:right="1440" w:bottom="1440" w:gutter="0" w:footer="0" w:header="0"/>
        </w:sectPr>
      </w:pPr>
    </w:p>
    <w:bookmarkStart w:id="92" w:name="page93"/>
    <w:bookmarkEnd w:id="92"/>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amended and restated bylaws provides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319"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a listing of our common stock on Nasdaq.</w:t>
      </w:r>
    </w:p>
    <w:p>
      <w:pPr>
        <w:spacing w:after="0" w:line="10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Because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structure of our common stock may limit your ability to influence corporate matters and may limit your visibility with respect to certain transactions.</w:t>
      </w:r>
    </w:p>
    <w:p>
      <w:pPr>
        <w:spacing w:after="0" w:line="3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The structure of our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amended and restated certificate of incorporation.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4"/>
          <w:szCs w:val="14"/>
          <w:b w:val="1"/>
          <w:bCs w:val="1"/>
          <w:color w:val="auto"/>
        </w:rPr>
        <w:t>Other General Risks</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stock price, and results of operations.</w:t>
      </w:r>
    </w:p>
    <w:p>
      <w:pPr>
        <w:spacing w:after="0" w:line="34"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recent military action in Iran and effects thereof, the ongoing conflicts in the Middle East and between Russia and Ukraine, terrorism, political unrest,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 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41" w:lineRule="exact"/>
        <w:rPr>
          <w:sz w:val="20"/>
          <w:szCs w:val="20"/>
          <w:color w:val="auto"/>
        </w:rPr>
      </w:pPr>
    </w:p>
    <w:p>
      <w:pPr>
        <w:jc w:val="both"/>
        <w:ind w:left="640" w:right="659" w:firstLine="351"/>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21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the reduced disclosure requirements applicable to emerging growth companies and smaller reporting companies may make us less attractive to investors.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spacing w:after="0" w:line="50" w:lineRule="exact"/>
        <w:rPr>
          <w:sz w:val="20"/>
          <w:szCs w:val="20"/>
          <w:color w:val="auto"/>
        </w:rPr>
      </w:pPr>
    </w:p>
    <w:p>
      <w:pPr>
        <w:jc w:val="both"/>
        <w:ind w:left="1240" w:right="659" w:hanging="251"/>
        <w:spacing w:after="0" w:line="274"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and a correspondingly reduced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disclosure in this Quarterly Report on Form 10-Q;</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of Section 404 of the Sarbanes-Oxley Act;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shareholder approval of any golden parachute payments not previously approved;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94" w:name="page95"/>
    <w:bookmarkEnd w:id="94"/>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 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w:t>
      </w:r>
    </w:p>
    <w:p>
      <w:pPr>
        <w:spacing w:after="0" w:line="31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w:t>
      </w:r>
    </w:p>
    <w:p>
      <w:pPr>
        <w:spacing w:after="0" w:line="140"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14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will continue to incur, significant increased costs as a result of operating as a public company, and our management is required to devote substantial time to compliance initiatives and corporate governance practices.</w:t>
      </w:r>
    </w:p>
    <w:p>
      <w:pPr>
        <w:spacing w:after="0" w:line="3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7"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rules and regulations applicable to public companies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5" w:name="page96"/>
    <w:bookmarkEnd w:id="95"/>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w:t>
      </w:r>
    </w:p>
    <w:p>
      <w:pPr>
        <w:spacing w:after="0" w:line="31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our IPO.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other tax attributes may be limited.</w:t>
      </w:r>
    </w:p>
    <w:p>
      <w:pPr>
        <w:spacing w:after="0" w:line="10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As of December 31, 2025, we had approximately $53.4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$53.7 million of state NOLs. As of December 31, 2025, we had approximately $2.9 million of federal research and development tax credit carryforwards. Federal tax credit carryforwards expire at various dates beginning in 2044. As of December 31, 2025, we had approximately $1.0 million of state research and development tax credit carryforwards. The state tax credits carryforwards expire at various dates beginning in 2039.</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2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101"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233" w:lineRule="exact"/>
        <w:rPr>
          <w:sz w:val="20"/>
          <w:szCs w:val="20"/>
          <w:color w:val="auto"/>
        </w:rPr>
      </w:pPr>
    </w:p>
    <w:p>
      <w:pPr>
        <w:jc w:val="both"/>
        <w:ind w:left="640" w:right="63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p>
    <w:p>
      <w:pPr>
        <w:spacing w:after="0" w:line="5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5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7" w:name="page98"/>
    <w:bookmarkEnd w:id="97"/>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w:t>
      </w:r>
    </w:p>
    <w:p>
      <w:pPr>
        <w:spacing w:after="0" w:line="140"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w:t>
      </w:r>
    </w:p>
    <w:p>
      <w:pPr>
        <w:spacing w:after="0" w:line="31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32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Further, applicable privacy and data security obligations may require us to notify relevant stakeholders of a cyber-attack, security breach, compromise, or other adverse impact to our and our third-party service provider’s 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8" w:name="page99"/>
    <w:bookmarkEnd w:id="98"/>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w:t>
      </w:r>
    </w:p>
    <w:p>
      <w:pPr>
        <w:spacing w:after="0" w:line="218" w:lineRule="exact"/>
        <w:rPr>
          <w:sz w:val="20"/>
          <w:szCs w:val="20"/>
          <w:color w:val="auto"/>
        </w:rPr>
      </w:pPr>
    </w:p>
    <w:p>
      <w:pPr>
        <w:jc w:val="both"/>
        <w:ind w:left="640" w:right="63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p>
    <w:p>
      <w:pPr>
        <w:spacing w:after="0" w:line="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w:t>
      </w:r>
    </w:p>
    <w:p>
      <w:pPr>
        <w:spacing w:after="0" w:line="14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 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4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9" w:name="page100"/>
    <w:bookmarkEnd w:id="99"/>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3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59" w:lineRule="exact"/>
        <w:rPr>
          <w:sz w:val="20"/>
          <w:szCs w:val="20"/>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83"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 Recent Sales of Unregistered Equity Securities</w:t>
      </w:r>
    </w:p>
    <w:p>
      <w:pPr>
        <w:spacing w:after="0" w:line="101" w:lineRule="exact"/>
        <w:rPr>
          <w:sz w:val="20"/>
          <w:szCs w:val="20"/>
          <w:color w:val="auto"/>
        </w:rPr>
      </w:pPr>
    </w:p>
    <w:p>
      <w:pPr>
        <w:ind w:left="640" w:right="1099"/>
        <w:spacing w:after="0" w:line="292" w:lineRule="auto"/>
        <w:rPr>
          <w:sz w:val="20"/>
          <w:szCs w:val="20"/>
          <w:color w:val="auto"/>
        </w:rPr>
      </w:pPr>
      <w:r>
        <w:rPr>
          <w:rFonts w:ascii="Times New Roman" w:cs="Times New Roman" w:eastAsia="Times New Roman" w:hAnsi="Times New Roman"/>
          <w:sz w:val="14"/>
          <w:szCs w:val="14"/>
          <w:color w:val="auto"/>
        </w:rPr>
        <w:t>Set forth below is information regarding securities we have issued within the past three years that were not registered under the Securities Act.</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Issuances</w:t>
      </w:r>
    </w:p>
    <w:p>
      <w:pPr>
        <w:spacing w:after="0" w:line="101" w:lineRule="exact"/>
        <w:rPr>
          <w:sz w:val="20"/>
          <w:szCs w:val="20"/>
          <w:color w:val="auto"/>
        </w:rPr>
      </w:pPr>
    </w:p>
    <w:p>
      <w:pPr>
        <w:ind w:left="640" w:right="739"/>
        <w:spacing w:after="0" w:line="263" w:lineRule="auto"/>
        <w:rPr>
          <w:sz w:val="20"/>
          <w:szCs w:val="20"/>
          <w:color w:val="auto"/>
        </w:rPr>
      </w:pPr>
      <w:r>
        <w:rPr>
          <w:rFonts w:ascii="Times New Roman" w:cs="Times New Roman" w:eastAsia="Times New Roman" w:hAnsi="Times New Roman"/>
          <w:sz w:val="14"/>
          <w:szCs w:val="14"/>
          <w:color w:val="auto"/>
        </w:rPr>
        <w:t>In April 2024, we issued an aggregate of 40,000,000 shares of Series A-1 convertible preferred stock in connection with entry into an asset transfer agreement, dated as of April 8, 2024, or the Asset Transfer Agreement, with PureTech LYT. We also issued and sold to accredited investors an aggregate of 26,342,102 shares of Series A-2 convertible preferred stock at a price per share of $3.80, for an aggregate purchase price of $100.1 million. In October and November 2024, we issued and sold to accredited investors an aggregate of 47,578,934 shares of Series B convertible preferred stock at a price per share of $4.75, for an aggregate purchase price of approximately $226.0 million.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Common Stock Issuances</w:t>
      </w:r>
    </w:p>
    <w:p>
      <w:pPr>
        <w:spacing w:after="0" w:line="101" w:lineRule="exact"/>
        <w:rPr>
          <w:sz w:val="20"/>
          <w:szCs w:val="20"/>
          <w:color w:val="auto"/>
        </w:rPr>
      </w:pPr>
    </w:p>
    <w:p>
      <w:pPr>
        <w:ind w:left="640" w:right="679"/>
        <w:spacing w:after="0" w:line="292" w:lineRule="auto"/>
        <w:rPr>
          <w:sz w:val="20"/>
          <w:szCs w:val="20"/>
          <w:color w:val="auto"/>
        </w:rPr>
      </w:pPr>
      <w:r>
        <w:rPr>
          <w:rFonts w:ascii="Times New Roman" w:cs="Times New Roman" w:eastAsia="Times New Roman" w:hAnsi="Times New Roman"/>
          <w:sz w:val="14"/>
          <w:szCs w:val="14"/>
          <w:color w:val="auto"/>
        </w:rPr>
        <w:t>In April 2024, we issued an aggregate of 318 shares of common stock to PureTech LYT in connection with our formation. In April 2024, we issued an aggregate of 302,161 shares of common stock to PureTech LYT in connection with the Asset Transfer Agreement.</w:t>
      </w:r>
    </w:p>
    <w:p>
      <w:pPr>
        <w:spacing w:after="0" w:line="124" w:lineRule="exact"/>
        <w:rPr>
          <w:sz w:val="20"/>
          <w:szCs w:val="20"/>
          <w:color w:val="auto"/>
        </w:rPr>
      </w:pPr>
    </w:p>
    <w:p>
      <w:pPr>
        <w:ind w:left="640" w:right="859"/>
        <w:spacing w:after="0" w:line="292" w:lineRule="auto"/>
        <w:rPr>
          <w:sz w:val="20"/>
          <w:szCs w:val="20"/>
          <w:color w:val="auto"/>
        </w:rPr>
      </w:pPr>
      <w:r>
        <w:rPr>
          <w:rFonts w:ascii="Times New Roman" w:cs="Times New Roman" w:eastAsia="Times New Roman" w:hAnsi="Times New Roman"/>
          <w:sz w:val="14"/>
          <w:szCs w:val="14"/>
          <w:color w:val="auto"/>
        </w:rPr>
        <w:t>Since April 2024, we have sold or issued by exchange to our founders an aggregate of 2,292,481 shares of restricted common stock under our 2024 Plan or pursuant to agreement, at a purchase price of $0.0 million.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Grants and exercises of stock options</w:t>
      </w:r>
    </w:p>
    <w:p>
      <w:pPr>
        <w:spacing w:after="0" w:line="101" w:lineRule="exact"/>
        <w:rPr>
          <w:sz w:val="20"/>
          <w:szCs w:val="20"/>
          <w:color w:val="auto"/>
        </w:rPr>
      </w:pPr>
    </w:p>
    <w:p>
      <w:pPr>
        <w:ind w:left="640" w:right="719"/>
        <w:spacing w:after="0" w:line="292" w:lineRule="auto"/>
        <w:rPr>
          <w:sz w:val="20"/>
          <w:szCs w:val="20"/>
          <w:color w:val="auto"/>
        </w:rPr>
      </w:pPr>
      <w:r>
        <w:rPr>
          <w:rFonts w:ascii="Times New Roman" w:cs="Times New Roman" w:eastAsia="Times New Roman" w:hAnsi="Times New Roman"/>
          <w:sz w:val="14"/>
          <w:szCs w:val="14"/>
          <w:color w:val="auto"/>
        </w:rPr>
        <w:t>Since April 2024, we have granted certain employees, consultants, and directors options to purchase an aggregate of 9,916,296 shares of our common stock under our 2024 Plan and 2026 Plan, at exercise prices ranging from $3.05 to $10.31 per share.</w:t>
      </w:r>
    </w:p>
    <w:p>
      <w:pPr>
        <w:spacing w:after="0" w:line="124" w:lineRule="exact"/>
        <w:rPr>
          <w:sz w:val="20"/>
          <w:szCs w:val="20"/>
          <w:color w:val="auto"/>
        </w:rPr>
      </w:pPr>
    </w:p>
    <w:p>
      <w:pPr>
        <w:ind w:left="640" w:right="679"/>
        <w:spacing w:after="0" w:line="292" w:lineRule="auto"/>
        <w:rPr>
          <w:sz w:val="20"/>
          <w:szCs w:val="20"/>
          <w:color w:val="auto"/>
        </w:rPr>
      </w:pPr>
      <w:r>
        <w:rPr>
          <w:rFonts w:ascii="Times New Roman" w:cs="Times New Roman" w:eastAsia="Times New Roman" w:hAnsi="Times New Roman"/>
          <w:sz w:val="14"/>
          <w:szCs w:val="14"/>
          <w:color w:val="auto"/>
        </w:rPr>
        <w:t>Since April 2024, 216,457 stock options have been exercised under our 2024 Plan and 2026 Plan at a weighted average purchase price of $3.73 per share.</w:t>
      </w:r>
    </w:p>
    <w:p>
      <w:pPr>
        <w:spacing w:after="0" w:line="124" w:lineRule="exact"/>
        <w:rPr>
          <w:sz w:val="20"/>
          <w:szCs w:val="20"/>
          <w:color w:val="auto"/>
        </w:rPr>
      </w:pPr>
    </w:p>
    <w:p>
      <w:pPr>
        <w:ind w:left="640" w:right="699"/>
        <w:spacing w:after="0" w:line="260" w:lineRule="auto"/>
        <w:rPr>
          <w:sz w:val="20"/>
          <w:szCs w:val="20"/>
          <w:color w:val="auto"/>
        </w:rPr>
      </w:pPr>
      <w:r>
        <w:rPr>
          <w:rFonts w:ascii="Times New Roman" w:cs="Times New Roman" w:eastAsia="Times New Roman" w:hAnsi="Times New Roman"/>
          <w:sz w:val="14"/>
          <w:szCs w:val="14"/>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 Use of Proceeds from our Initial Public Offering</w:t>
      </w:r>
    </w:p>
    <w:p>
      <w:pPr>
        <w:spacing w:after="0" w:line="101" w:lineRule="exact"/>
        <w:rPr>
          <w:sz w:val="20"/>
          <w:szCs w:val="20"/>
          <w:color w:val="auto"/>
        </w:rPr>
      </w:pPr>
    </w:p>
    <w:p>
      <w:pPr>
        <w:jc w:val="both"/>
        <w:ind w:left="640" w:right="639" w:firstLine="258"/>
        <w:spacing w:after="0" w:line="263" w:lineRule="auto"/>
        <w:rPr>
          <w:sz w:val="20"/>
          <w:szCs w:val="20"/>
          <w:color w:val="auto"/>
        </w:rPr>
      </w:pPr>
      <w:r>
        <w:rPr>
          <w:rFonts w:ascii="Times New Roman" w:cs="Times New Roman" w:eastAsia="Times New Roman" w:hAnsi="Times New Roman"/>
          <w:sz w:val="14"/>
          <w:szCs w:val="14"/>
          <w:color w:val="auto"/>
        </w:rPr>
        <w:t>On May 1, 2026, the SEC declared effective our registration statement on Form S-1 (File No. 333-294976), as amended, or the Registration Statement, filed in connection with our IPO. Pursuant to the Registration Statement, we registered the offer and sale of 14,160,000 shares of our common stock with a maximum aggregate offering price of approximately $237.0 million. Goldman Sachs &amp; Co. LLC, J.P. Morgan, Leerink Partners, Citigroup, and Stifel acted as representatives of the underwriters for the IPO. None of the expenses associated with the IPO were paid to directors, officers, persons owning 10% or more of any class of equity securities, or to our affiliates.</w:t>
      </w:r>
    </w:p>
    <w:p>
      <w:pPr>
        <w:spacing w:after="0" w:line="230" w:lineRule="exact"/>
        <w:rPr>
          <w:sz w:val="20"/>
          <w:szCs w:val="20"/>
          <w:color w:val="auto"/>
        </w:rPr>
      </w:pPr>
    </w:p>
    <w:p>
      <w:pPr>
        <w:jc w:val="both"/>
        <w:ind w:left="640" w:right="659" w:firstLine="258"/>
        <w:spacing w:after="0" w:line="292" w:lineRule="auto"/>
        <w:rPr>
          <w:sz w:val="20"/>
          <w:szCs w:val="20"/>
          <w:color w:val="auto"/>
        </w:rPr>
      </w:pPr>
      <w:r>
        <w:rPr>
          <w:rFonts w:ascii="Times New Roman" w:cs="Times New Roman" w:eastAsia="Times New Roman" w:hAnsi="Times New Roman"/>
          <w:sz w:val="14"/>
          <w:szCs w:val="14"/>
          <w:color w:val="auto"/>
        </w:rPr>
        <w:t>There has been no material change in the expected use of the net proceeds from our IPO as described in our final prospectus filed with the SEC pursuant to Rule 424(b) of the Securities Act on May 1, 2026.</w:t>
      </w:r>
    </w:p>
    <w:p>
      <w:pPr>
        <w:spacing w:after="0" w:line="34" w:lineRule="exact"/>
        <w:rPr>
          <w:sz w:val="20"/>
          <w:szCs w:val="20"/>
          <w:color w:val="auto"/>
        </w:rPr>
      </w:pPr>
    </w:p>
    <w:p>
      <w:pPr>
        <w:ind w:left="900" w:right="6259" w:hanging="262"/>
        <w:spacing w:after="0" w:line="426" w:lineRule="auto"/>
        <w:tabs>
          <w:tab w:leader="none" w:pos="837" w:val="left"/>
        </w:tabs>
        <w:numPr>
          <w:ilvl w:val="0"/>
          <w:numId w:val="5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Issuer Repurchases of Securities </w:t>
      </w:r>
      <w:r>
        <w:rPr>
          <w:rFonts w:ascii="Times New Roman" w:cs="Times New Roman" w:eastAsia="Times New Roman" w:hAnsi="Times New Roman"/>
          <w:sz w:val="14"/>
          <w:szCs w:val="14"/>
          <w:color w:val="auto"/>
        </w:rPr>
        <w:t>None.</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jc w:val="both"/>
        <w:ind w:left="640" w:right="659" w:firstLine="258"/>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02" w:name="page103"/>
    <w:bookmarkEnd w:id="102"/>
    <w:p>
      <w:pPr>
        <w:ind w:left="68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Furnish the exhibits required by Item 601 of Regulation S-K (§ 229.601 of this chapter).</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0" w:type="dxa"/>
            <w:vAlign w:val="bottom"/>
          </w:tcPr>
          <w:p>
            <w:pPr>
              <w:spacing w:after="0"/>
              <w:rPr>
                <w:sz w:val="11"/>
                <w:szCs w:val="11"/>
                <w:color w:val="auto"/>
              </w:rPr>
            </w:pPr>
          </w:p>
        </w:tc>
        <w:tc>
          <w:tcPr>
            <w:tcW w:w="6960" w:type="dxa"/>
            <w:vAlign w:val="bottom"/>
            <w:vMerge w:val="restart"/>
          </w:tcPr>
          <w:p>
            <w:pPr>
              <w:ind w:left="3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40" w:type="dxa"/>
            <w:vAlign w:val="bottom"/>
          </w:tcPr>
          <w:p>
            <w:pPr>
              <w:spacing w:after="0"/>
              <w:rPr>
                <w:sz w:val="11"/>
                <w:szCs w:val="11"/>
                <w:color w:val="auto"/>
              </w:rPr>
            </w:pPr>
          </w:p>
        </w:tc>
        <w:tc>
          <w:tcPr>
            <w:tcW w:w="6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 w:type="dxa"/>
            <w:vAlign w:val="bottom"/>
            <w:gridSpan w:val="2"/>
          </w:tcPr>
          <w:p>
            <w:pPr>
              <w:spacing w:after="0" w:line="131"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96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Amended and Restated Certificate of Incorporation (as currently in effect) (incorporated by reference to Exhibit 3.1 to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Registrant’s Current Report on Form 8-K (File No. 001-43254)).</w:t>
            </w:r>
          </w:p>
        </w:tc>
        <w:tc>
          <w:tcPr>
            <w:tcW w:w="0" w:type="dxa"/>
            <w:vAlign w:val="bottom"/>
          </w:tcPr>
          <w:p>
            <w:pPr>
              <w:spacing w:after="0"/>
              <w:rPr>
                <w:sz w:val="1"/>
                <w:szCs w:val="1"/>
                <w:color w:val="auto"/>
              </w:rPr>
            </w:pPr>
          </w:p>
        </w:tc>
      </w:tr>
      <w:tr>
        <w:trPr>
          <w:trHeight w:val="154"/>
        </w:trPr>
        <w:tc>
          <w:tcPr>
            <w:tcW w:w="240" w:type="dxa"/>
            <w:vAlign w:val="bottom"/>
            <w:gridSpan w:val="3"/>
          </w:tcPr>
          <w:p>
            <w:pPr>
              <w:spacing w:after="0" w:line="155"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Amended and Restated Bylaws of Seaport Therapeutics, Inc (incorporated by reference to Exhibit 3.1 to the Registrant’s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Current Report on Form 8-K (File No. 001-43254).</w:t>
            </w:r>
          </w:p>
        </w:tc>
        <w:tc>
          <w:tcPr>
            <w:tcW w:w="0" w:type="dxa"/>
            <w:vAlign w:val="bottom"/>
          </w:tcPr>
          <w:p>
            <w:pPr>
              <w:spacing w:after="0"/>
              <w:rPr>
                <w:sz w:val="1"/>
                <w:szCs w:val="1"/>
                <w:color w:val="auto"/>
              </w:rPr>
            </w:pPr>
          </w:p>
        </w:tc>
      </w:tr>
      <w:tr>
        <w:trPr>
          <w:trHeight w:val="154"/>
        </w:trPr>
        <w:tc>
          <w:tcPr>
            <w:tcW w:w="640" w:type="dxa"/>
            <w:vAlign w:val="bottom"/>
            <w:gridSpan w:val="5"/>
          </w:tcPr>
          <w:p>
            <w:pPr>
              <w:spacing w:after="0" w:line="155"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Amended and Restated Investors’ Rights Agreement, by and between the Registrant and certain of its 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dated as of October 18, 2024 (incorporated by reference to Exhibit 4.2 to the Registrant’s Registration Statement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Form S-1 (File No. 333-</w:t>
            </w:r>
            <w:r>
              <w:rPr>
                <w:rFonts w:ascii="Times New Roman" w:cs="Times New Roman" w:eastAsia="Times New Roman" w:hAnsi="Times New Roman"/>
                <w:sz w:val="12"/>
                <w:szCs w:val="12"/>
                <w:color w:val="auto"/>
              </w:rPr>
              <w:t>294976</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240" w:type="dxa"/>
            <w:vAlign w:val="bottom"/>
            <w:gridSpan w:val="3"/>
          </w:tcPr>
          <w:p>
            <w:pPr>
              <w:spacing w:after="0" w:line="155"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Specimen Common Stock Certificate (incorporated by reference to Exhibit 4.1 to the Registrant's Registration Statement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1">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2026 Equity Incentive Plan and form of award agreements thereunder (incorporated by reference to Exhibit 10.2 to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Registrant's Registration Statement 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2">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2</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2026 Employee Stock Purchase Plan (incorporated by reference to Exhibit 10.3 to the Registrant's Registration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Statement 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3">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3</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Form of Officer Indemnification Agreement, by and between the Registrant and executive officers (incorporated 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reference to Exhibit 10.4 to the Registrant’s Registration Statement on Form S-1 (File No. 333-</w:t>
            </w:r>
            <w:r>
              <w:rPr>
                <w:rFonts w:ascii="Times New Roman" w:cs="Times New Roman" w:eastAsia="Times New Roman" w:hAnsi="Times New Roman"/>
                <w:sz w:val="12"/>
                <w:szCs w:val="12"/>
                <w:color w:val="auto"/>
              </w:rPr>
              <w:t>294976</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4">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4</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Form of Director Indemnification Agreement, by and between the Registrant and its directors (incorporated by 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to Exhibit 10.5 to the Registrant’s Registration Statement on Form S-1 (File No. 333-</w:t>
            </w:r>
            <w:r>
              <w:rPr>
                <w:rFonts w:ascii="Times New Roman" w:cs="Times New Roman" w:eastAsia="Times New Roman" w:hAnsi="Times New Roman"/>
                <w:sz w:val="12"/>
                <w:szCs w:val="12"/>
                <w:color w:val="auto"/>
              </w:rPr>
              <w:t>294976</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5">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5</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Senior Executive Cash Incentive Bonus Plan (incorporated by reference to Exhibit 10.6 to the Registrant’s Registration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Statement 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6">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6</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Executive Severance Plan (incorporated by reference to Exhibit 10.7 to the Registrant’s Registration Statement on Form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7">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7</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Non-Employee Director Compensation Policy (incorporated by reference to Exhibit 10.8 to the Registrant’s Registration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Statement 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rFonts w:ascii="Times New Roman" w:cs="Times New Roman" w:eastAsia="Times New Roman" w:hAnsi="Times New Roman"/>
                <w:sz w:val="14"/>
                <w:szCs w:val="14"/>
                <w:color w:val="0000FF"/>
                <w:w w:val="95"/>
              </w:rPr>
            </w:pPr>
            <w:hyperlink r:id="rId298">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8</w:t>
              </w:r>
            </w:hyperlink>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Compensation Recovery Policy (incorporated by reference to Exhibit 10.9 to the Registrant’s Registration Statement 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Form S-1 (File No. 333-294976).</w:t>
            </w:r>
          </w:p>
        </w:tc>
        <w:tc>
          <w:tcPr>
            <w:tcW w:w="0" w:type="dxa"/>
            <w:vAlign w:val="bottom"/>
          </w:tcPr>
          <w:p>
            <w:pPr>
              <w:spacing w:after="0"/>
              <w:rPr>
                <w:sz w:val="1"/>
                <w:szCs w:val="1"/>
                <w:color w:val="auto"/>
              </w:rPr>
            </w:pPr>
          </w:p>
        </w:tc>
      </w:tr>
      <w:tr>
        <w:trPr>
          <w:trHeight w:val="154"/>
        </w:trPr>
        <w:tc>
          <w:tcPr>
            <w:tcW w:w="640" w:type="dxa"/>
            <w:vAlign w:val="bottom"/>
            <w:gridSpan w:val="5"/>
          </w:tcPr>
          <w:p>
            <w:pPr>
              <w:spacing w:after="0" w:line="155"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Asset Transfer Agreement, by and between the Registrant, PureTech Health LLC and PureTech LYT, Inc., dated April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8, 2024, as amended by that certain amendment, dated December 16, 2025 (incorporated by reference to Exhibit 10.14 to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Registrant’s Registration Statement on Form S-1 (File No. 333-294976).</w:t>
            </w:r>
          </w:p>
        </w:tc>
        <w:tc>
          <w:tcPr>
            <w:tcW w:w="0" w:type="dxa"/>
            <w:vAlign w:val="bottom"/>
          </w:tcPr>
          <w:p>
            <w:pPr>
              <w:spacing w:after="0"/>
              <w:rPr>
                <w:sz w:val="1"/>
                <w:szCs w:val="1"/>
                <w:color w:val="auto"/>
              </w:rPr>
            </w:pPr>
          </w:p>
        </w:tc>
      </w:tr>
      <w:tr>
        <w:trPr>
          <w:trHeight w:val="154"/>
        </w:trPr>
        <w:tc>
          <w:tcPr>
            <w:tcW w:w="640" w:type="dxa"/>
            <w:vAlign w:val="bottom"/>
            <w:gridSpan w:val="5"/>
          </w:tcPr>
          <w:p>
            <w:pPr>
              <w:spacing w:after="0" w:line="155"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Amended and Restated License Agreement between Monash University, ABN 12 377 614 012, a body politic and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corporate constituted in accordance with the Monash University Act 2009 of Wellington Road, Clayton, Victoria,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Australia 3800 and the Registrant, dated March 12, 2025 (incorporated by reference to Exhibit 10.15 to the Registrant’s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Registration Statement on Form S-1 (File No. 333-294976).</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1</w:t>
            </w:r>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 under the Securities Exchange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Act of 1934, as Adopted Pursuant to Section 302 of the Sarbanes-Oxley Act of 2002.</w:t>
            </w:r>
          </w:p>
        </w:tc>
        <w:tc>
          <w:tcPr>
            <w:tcW w:w="0" w:type="dxa"/>
            <w:vAlign w:val="bottom"/>
          </w:tcPr>
          <w:p>
            <w:pPr>
              <w:spacing w:after="0"/>
              <w:rPr>
                <w:sz w:val="1"/>
                <w:szCs w:val="1"/>
                <w:color w:val="auto"/>
              </w:rPr>
            </w:pPr>
          </w:p>
        </w:tc>
      </w:tr>
      <w:tr>
        <w:trPr>
          <w:trHeight w:val="154"/>
        </w:trPr>
        <w:tc>
          <w:tcPr>
            <w:tcW w:w="32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2</w:t>
            </w:r>
            <w:r>
              <w:rPr>
                <w:rFonts w:ascii="Times New Roman" w:cs="Times New Roman" w:eastAsia="Times New Roman" w:hAnsi="Times New Roman"/>
                <w:sz w:val="14"/>
                <w:szCs w:val="14"/>
                <w:color w:val="000000"/>
                <w:w w:val="95"/>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 under the Securities Exchange Act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of 1934, as Adopted Pursuant to Section 302 of the Sarbanes-Oxley Act of 2002.</w:t>
            </w:r>
          </w:p>
        </w:tc>
        <w:tc>
          <w:tcPr>
            <w:tcW w:w="0" w:type="dxa"/>
            <w:vAlign w:val="bottom"/>
          </w:tcPr>
          <w:p>
            <w:pPr>
              <w:spacing w:after="0"/>
              <w:rPr>
                <w:sz w:val="1"/>
                <w:szCs w:val="1"/>
                <w:color w:val="auto"/>
              </w:rPr>
            </w:pPr>
          </w:p>
        </w:tc>
      </w:tr>
      <w:tr>
        <w:trPr>
          <w:trHeight w:val="154"/>
        </w:trPr>
        <w:tc>
          <w:tcPr>
            <w:tcW w:w="64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 Adopted Pursuant to Section 906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Sarbanes-Oxley Act of 2002.</w:t>
            </w:r>
          </w:p>
        </w:tc>
        <w:tc>
          <w:tcPr>
            <w:tcW w:w="0" w:type="dxa"/>
            <w:vAlign w:val="bottom"/>
          </w:tcPr>
          <w:p>
            <w:pPr>
              <w:spacing w:after="0"/>
              <w:rPr>
                <w:sz w:val="1"/>
                <w:szCs w:val="1"/>
                <w:color w:val="auto"/>
              </w:rPr>
            </w:pPr>
          </w:p>
        </w:tc>
      </w:tr>
      <w:tr>
        <w:trPr>
          <w:trHeight w:val="154"/>
        </w:trPr>
        <w:tc>
          <w:tcPr>
            <w:tcW w:w="64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 Adopted Pursuant to Section 906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the Sarbanes-Oxley Act of 2002.</w:t>
            </w:r>
          </w:p>
        </w:tc>
        <w:tc>
          <w:tcPr>
            <w:tcW w:w="0" w:type="dxa"/>
            <w:vAlign w:val="bottom"/>
          </w:tcPr>
          <w:p>
            <w:pPr>
              <w:spacing w:after="0"/>
              <w:rPr>
                <w:sz w:val="1"/>
                <w:szCs w:val="1"/>
                <w:color w:val="auto"/>
              </w:rPr>
            </w:pPr>
          </w:p>
        </w:tc>
      </w:tr>
      <w:tr>
        <w:trPr>
          <w:trHeight w:val="172"/>
        </w:trPr>
        <w:tc>
          <w:tcPr>
            <w:tcW w:w="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101.INS*</w:t>
            </w: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72"/>
        </w:trPr>
        <w:tc>
          <w:tcPr>
            <w:tcW w:w="6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101.SCH*</w:t>
            </w:r>
          </w:p>
        </w:tc>
        <w:tc>
          <w:tcPr>
            <w:tcW w:w="14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0" w:type="dxa"/>
            <w:vAlign w:val="bottom"/>
          </w:tcPr>
          <w:p>
            <w:pPr>
              <w:spacing w:after="0"/>
              <w:rPr>
                <w:sz w:val="1"/>
                <w:szCs w:val="1"/>
                <w:color w:val="auto"/>
              </w:rPr>
            </w:pPr>
          </w:p>
        </w:tc>
      </w:tr>
      <w:tr>
        <w:trPr>
          <w:trHeight w:val="186"/>
        </w:trPr>
        <w:tc>
          <w:tcPr>
            <w:tcW w:w="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ind w:left="920" w:hanging="282"/>
        <w:spacing w:after="0"/>
        <w:tabs>
          <w:tab w:leader="none" w:pos="9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ind w:left="980" w:right="679" w:hanging="342"/>
        <w:spacing w:after="0" w:line="256" w:lineRule="auto"/>
        <w:tabs>
          <w:tab w:leader="none" w:pos="9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and 32.2 hereto are deemed to be furnished with this Quarterly Report and will not be deemed to be “filed” for purposes of Section 18 of the Exchange Act, except to the extent that the Registrant specifically incorporates it by reference.</w:t>
      </w:r>
    </w:p>
    <w:p>
      <w:pPr>
        <w:ind w:left="940" w:hanging="302"/>
        <w:spacing w:after="0"/>
        <w:tabs>
          <w:tab w:leader="none" w:pos="9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11" w:lineRule="exact"/>
        <w:rPr>
          <w:sz w:val="20"/>
          <w:szCs w:val="20"/>
          <w:color w:val="auto"/>
        </w:rPr>
      </w:pPr>
    </w:p>
    <w:p>
      <w:pPr>
        <w:ind w:left="940" w:right="959" w:hanging="302"/>
        <w:spacing w:after="0" w:line="269" w:lineRule="auto"/>
        <w:tabs>
          <w:tab w:leader="none" w:pos="9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document that constitute confidential information have been redacted pursuant to Item 601(b)(10) of Regulation S-K.</w:t>
      </w:r>
    </w:p>
    <w:p>
      <w:pPr>
        <w:spacing w:after="0" w:line="1" w:lineRule="exact"/>
        <w:rPr>
          <w:sz w:val="20"/>
          <w:szCs w:val="20"/>
          <w:color w:val="auto"/>
        </w:rPr>
      </w:pPr>
    </w:p>
    <w:p>
      <w:pPr>
        <w:ind w:left="940" w:right="699" w:hanging="302"/>
        <w:spacing w:after="0" w:line="292" w:lineRule="auto"/>
        <w:tabs>
          <w:tab w:leader="none" w:pos="9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584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tc>
      </w:tr>
      <w:tr>
        <w:trPr>
          <w:trHeight w:val="344"/>
        </w:trPr>
        <w:tc>
          <w:tcPr>
            <w:tcW w:w="2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June 8, 2026</w:t>
            </w:r>
          </w:p>
        </w:tc>
        <w:tc>
          <w:tcPr>
            <w:tcW w:w="22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Daphne Zohar</w:t>
            </w:r>
          </w:p>
        </w:tc>
      </w:tr>
      <w:tr>
        <w:trPr>
          <w:trHeight w:val="149"/>
        </w:trPr>
        <w:tc>
          <w:tcPr>
            <w:tcW w:w="2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Daphne Zohar</w:t>
            </w:r>
          </w:p>
        </w:tc>
        <w:tc>
          <w:tcPr>
            <w:tcW w:w="520" w:type="dxa"/>
            <w:vAlign w:val="bottom"/>
          </w:tcPr>
          <w:p>
            <w:pPr>
              <w:spacing w:after="0"/>
              <w:rPr>
                <w:sz w:val="12"/>
                <w:szCs w:val="12"/>
                <w:color w:val="auto"/>
              </w:rPr>
            </w:pPr>
          </w:p>
        </w:tc>
      </w:tr>
      <w:tr>
        <w:trPr>
          <w:trHeight w:val="170"/>
        </w:trPr>
        <w:tc>
          <w:tcPr>
            <w:tcW w:w="2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8"/>
        </w:trPr>
        <w:tc>
          <w:tcPr>
            <w:tcW w:w="2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44"/>
        </w:trPr>
        <w:tc>
          <w:tcPr>
            <w:tcW w:w="2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June 8, 2026</w:t>
            </w:r>
          </w:p>
        </w:tc>
        <w:tc>
          <w:tcPr>
            <w:tcW w:w="22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2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Lauren A. White</w:t>
            </w:r>
          </w:p>
        </w:tc>
        <w:tc>
          <w:tcPr>
            <w:tcW w:w="520" w:type="dxa"/>
            <w:vAlign w:val="bottom"/>
          </w:tcPr>
          <w:p>
            <w:pPr>
              <w:spacing w:after="0"/>
              <w:rPr>
                <w:sz w:val="12"/>
                <w:szCs w:val="12"/>
                <w:color w:val="auto"/>
              </w:rPr>
            </w:pPr>
          </w:p>
        </w:tc>
      </w:tr>
      <w:tr>
        <w:trPr>
          <w:trHeight w:val="170"/>
        </w:trPr>
        <w:tc>
          <w:tcPr>
            <w:tcW w:w="2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2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w:t>
            </w:r>
          </w:p>
        </w:tc>
      </w:tr>
      <w:tr>
        <w:trPr>
          <w:trHeight w:val="188"/>
        </w:trPr>
        <w:tc>
          <w:tcPr>
            <w:tcW w:w="2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Accounting Officer)</w:t>
            </w:r>
          </w:p>
        </w:tc>
      </w:tr>
      <w:tr>
        <w:trPr>
          <w:trHeight w:val="515"/>
        </w:trPr>
        <w:tc>
          <w:tcPr>
            <w:tcW w:w="2940" w:type="dxa"/>
            <w:vAlign w:val="bottom"/>
          </w:tcPr>
          <w:p>
            <w:pPr>
              <w:spacing w:after="0"/>
              <w:rPr>
                <w:sz w:val="24"/>
                <w:szCs w:val="24"/>
                <w:color w:val="auto"/>
              </w:rPr>
            </w:pPr>
          </w:p>
        </w:tc>
        <w:tc>
          <w:tcPr>
            <w:tcW w:w="22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102</w:t>
            </w: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29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04" w:name="page105"/>
    <w:bookmarkEnd w:id="104"/>
    <w:p>
      <w:pPr>
        <w:ind w:left="7100"/>
        <w:spacing w:after="0"/>
        <w:rPr>
          <w:sz w:val="20"/>
          <w:szCs w:val="20"/>
          <w:color w:val="auto"/>
        </w:rPr>
      </w:pPr>
      <w:r>
        <w:rPr>
          <w:rFonts w:ascii="Arial" w:cs="Arial" w:eastAsia="Arial" w:hAnsi="Arial"/>
          <w:sz w:val="13"/>
          <w:szCs w:val="13"/>
          <w:b w:val="1"/>
          <w:bCs w:val="1"/>
          <w:color w:val="auto"/>
        </w:rPr>
        <w:t>Exhibit 31.1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Daphne Zohar, certify that:</w:t>
      </w:r>
    </w:p>
    <w:p>
      <w:pPr>
        <w:spacing w:after="0" w:line="269" w:lineRule="exact"/>
        <w:rPr>
          <w:sz w:val="20"/>
          <w:szCs w:val="20"/>
          <w:color w:val="auto"/>
        </w:rPr>
      </w:pPr>
    </w:p>
    <w:p>
      <w:pPr>
        <w:ind w:left="1860" w:right="1959" w:hanging="357"/>
        <w:spacing w:after="0" w:line="292" w:lineRule="auto"/>
        <w:tabs>
          <w:tab w:leader="none" w:pos="1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for the Quarterly Period Ended March 31, 2026 of Seaport Therapeutics, Inc.;</w:t>
      </w:r>
    </w:p>
    <w:p>
      <w:pPr>
        <w:spacing w:after="0" w:line="123"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860" w:right="1259" w:hanging="357"/>
        <w:spacing w:after="0" w:line="274" w:lineRule="auto"/>
        <w:tabs>
          <w:tab w:leader="none" w:pos="18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68" w:lineRule="auto"/>
        <w:tabs>
          <w:tab w:leader="none" w:pos="220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2200" w:hanging="346"/>
        <w:spacing w:after="0"/>
        <w:tabs>
          <w:tab w:leader="none" w:pos="220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354" w:lineRule="exact"/>
        <w:rPr>
          <w:sz w:val="20"/>
          <w:szCs w:val="20"/>
          <w:color w:val="auto"/>
        </w:rPr>
      </w:pPr>
    </w:p>
    <w:p>
      <w:pPr>
        <w:jc w:val="both"/>
        <w:ind w:left="2200" w:right="1219" w:hanging="346"/>
        <w:spacing w:after="0" w:line="262" w:lineRule="auto"/>
        <w:tabs>
          <w:tab w:leader="none" w:pos="22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w:t>
      </w:r>
    </w:p>
    <w:p>
      <w:pPr>
        <w:spacing w:after="0" w:line="169" w:lineRule="exact"/>
        <w:rPr>
          <w:sz w:val="20"/>
          <w:szCs w:val="20"/>
          <w:color w:val="auto"/>
        </w:rPr>
      </w:pPr>
    </w:p>
    <w:p>
      <w:pPr>
        <w:ind w:left="2200" w:right="1239" w:hanging="346"/>
        <w:spacing w:after="0" w:line="268" w:lineRule="auto"/>
        <w:tabs>
          <w:tab w:leader="none" w:pos="22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74"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200" w:right="1419" w:hanging="346"/>
        <w:spacing w:after="0" w:line="292"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320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Date: June 8, 2026</w:t>
            </w:r>
          </w:p>
        </w:tc>
        <w:tc>
          <w:tcPr>
            <w:tcW w:w="16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By:</w:t>
            </w:r>
          </w:p>
        </w:tc>
        <w:tc>
          <w:tcPr>
            <w:tcW w:w="3900" w:type="dxa"/>
            <w:vAlign w:val="bottom"/>
            <w:gridSpan w:val="2"/>
          </w:tcPr>
          <w:p>
            <w:pPr>
              <w:jc w:val="center"/>
              <w:ind w:right="1440"/>
              <w:spacing w:after="0"/>
              <w:rPr>
                <w:sz w:val="20"/>
                <w:szCs w:val="20"/>
                <w:color w:val="auto"/>
              </w:rPr>
            </w:pPr>
            <w:r>
              <w:rPr>
                <w:rFonts w:ascii="Times New Roman" w:cs="Times New Roman" w:eastAsia="Times New Roman" w:hAnsi="Times New Roman"/>
                <w:sz w:val="13"/>
                <w:szCs w:val="13"/>
                <w:color w:val="auto"/>
                <w:w w:val="99"/>
              </w:rPr>
              <w:t>/s/ Daphne Zohar</w:t>
            </w:r>
          </w:p>
        </w:tc>
      </w:tr>
      <w:tr>
        <w:trPr>
          <w:trHeight w:val="144"/>
        </w:trPr>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tcPr>
          <w:p>
            <w:pPr>
              <w:jc w:val="center"/>
              <w:ind w:right="216"/>
              <w:spacing w:after="0" w:line="144" w:lineRule="exact"/>
              <w:rPr>
                <w:sz w:val="20"/>
                <w:szCs w:val="20"/>
                <w:color w:val="auto"/>
              </w:rPr>
            </w:pPr>
            <w:r>
              <w:rPr>
                <w:rFonts w:ascii="Times New Roman" w:cs="Times New Roman" w:eastAsia="Times New Roman" w:hAnsi="Times New Roman"/>
                <w:sz w:val="13"/>
                <w:szCs w:val="13"/>
                <w:color w:val="auto"/>
                <w:w w:val="98"/>
              </w:rPr>
              <w:t>Daphne Zohar</w:t>
            </w:r>
          </w:p>
        </w:tc>
        <w:tc>
          <w:tcPr>
            <w:tcW w:w="1120" w:type="dxa"/>
            <w:vAlign w:val="bottom"/>
          </w:tcPr>
          <w:p>
            <w:pPr>
              <w:spacing w:after="0"/>
              <w:rPr>
                <w:sz w:val="12"/>
                <w:szCs w:val="12"/>
                <w:color w:val="auto"/>
              </w:rPr>
            </w:pPr>
          </w:p>
        </w:tc>
      </w:tr>
      <w:tr>
        <w:trPr>
          <w:trHeight w:val="167"/>
        </w:trPr>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2"/>
          </w:tcPr>
          <w:p>
            <w:pPr>
              <w:jc w:val="center"/>
              <w:ind w:right="1420"/>
              <w:spacing w:after="0"/>
              <w:rPr>
                <w:sz w:val="20"/>
                <w:szCs w:val="20"/>
                <w:color w:val="auto"/>
              </w:rPr>
            </w:pPr>
            <w:r>
              <w:rPr>
                <w:rFonts w:ascii="Times New Roman" w:cs="Times New Roman" w:eastAsia="Times New Roman" w:hAnsi="Times New Roman"/>
                <w:sz w:val="13"/>
                <w:szCs w:val="13"/>
                <w:color w:val="auto"/>
                <w:w w:val="99"/>
              </w:rPr>
              <w:t>Chief Executive Officer and Director</w:t>
            </w:r>
          </w:p>
        </w:tc>
      </w:tr>
      <w:tr>
        <w:trPr>
          <w:trHeight w:val="172"/>
        </w:trPr>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2"/>
          </w:tcPr>
          <w:p>
            <w:pPr>
              <w:jc w:val="center"/>
              <w:ind w:right="1400"/>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1424"/>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71" w:right="1440" w:bottom="1440" w:gutter="0" w:footer="0" w:header="0"/>
        </w:sectPr>
      </w:pPr>
    </w:p>
    <w:bookmarkStart w:id="105" w:name="page106"/>
    <w:bookmarkEnd w:id="105"/>
    <w:p>
      <w:pPr>
        <w:ind w:left="7100"/>
        <w:spacing w:after="0"/>
        <w:rPr>
          <w:sz w:val="20"/>
          <w:szCs w:val="20"/>
          <w:color w:val="auto"/>
        </w:rPr>
      </w:pPr>
      <w:r>
        <w:rPr>
          <w:rFonts w:ascii="Arial" w:cs="Arial" w:eastAsia="Arial" w:hAnsi="Arial"/>
          <w:sz w:val="13"/>
          <w:szCs w:val="13"/>
          <w:b w:val="1"/>
          <w:bCs w:val="1"/>
          <w:color w:val="auto"/>
        </w:rPr>
        <w:t>Exhibit 31.2</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Lauren White, certify that:</w:t>
      </w:r>
    </w:p>
    <w:p>
      <w:pPr>
        <w:spacing w:after="0" w:line="183" w:lineRule="exact"/>
        <w:rPr>
          <w:sz w:val="20"/>
          <w:szCs w:val="20"/>
          <w:color w:val="auto"/>
        </w:rPr>
      </w:pPr>
    </w:p>
    <w:p>
      <w:pPr>
        <w:ind w:left="1860" w:right="1959" w:hanging="357"/>
        <w:spacing w:after="0" w:line="292"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for the Quarterly Period Ended March 31, 2026 of Seaport Therapeutics, Inc.;</w:t>
      </w:r>
    </w:p>
    <w:p>
      <w:pPr>
        <w:spacing w:after="0" w:line="123"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68"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2200" w:hanging="346"/>
        <w:spacing w:after="0"/>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354" w:lineRule="exact"/>
        <w:rPr>
          <w:sz w:val="20"/>
          <w:szCs w:val="20"/>
          <w:color w:val="auto"/>
        </w:rPr>
      </w:pPr>
    </w:p>
    <w:p>
      <w:pPr>
        <w:jc w:val="both"/>
        <w:ind w:left="2200" w:right="1219" w:hanging="346"/>
        <w:spacing w:after="0" w:line="274" w:lineRule="auto"/>
        <w:tabs>
          <w:tab w:leader="none" w:pos="2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8" w:lineRule="exact"/>
        <w:rPr>
          <w:sz w:val="20"/>
          <w:szCs w:val="20"/>
          <w:color w:val="auto"/>
        </w:rPr>
      </w:pPr>
    </w:p>
    <w:p>
      <w:pPr>
        <w:ind w:left="2200" w:right="1239" w:hanging="346"/>
        <w:spacing w:after="0" w:line="268" w:lineRule="auto"/>
        <w:tabs>
          <w:tab w:leader="none" w:pos="220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74" w:lineRule="auto"/>
        <w:tabs>
          <w:tab w:leader="none" w:pos="22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200" w:right="1419" w:hanging="346"/>
        <w:spacing w:after="0" w:line="292" w:lineRule="auto"/>
        <w:tabs>
          <w:tab w:leader="none" w:pos="22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26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June 8, 2026</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By:</w:t>
            </w:r>
          </w:p>
        </w:tc>
        <w:tc>
          <w:tcPr>
            <w:tcW w:w="41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3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Lauren White</w:t>
            </w:r>
          </w:p>
        </w:tc>
        <w:tc>
          <w:tcPr>
            <w:tcW w:w="1040" w:type="dxa"/>
            <w:vAlign w:val="bottom"/>
          </w:tcPr>
          <w:p>
            <w:pPr>
              <w:spacing w:after="0"/>
              <w:rPr>
                <w:sz w:val="12"/>
                <w:szCs w:val="12"/>
                <w:color w:val="auto"/>
              </w:rPr>
            </w:pPr>
          </w:p>
        </w:tc>
      </w:tr>
      <w:tr>
        <w:trPr>
          <w:trHeight w:val="172"/>
        </w:trPr>
        <w:tc>
          <w:tcPr>
            <w:tcW w:w="3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(Principal Financial Officer and Accounting Officer)</w:t>
            </w:r>
          </w:p>
        </w:tc>
      </w:tr>
      <w:tr>
        <w:trPr>
          <w:trHeight w:val="1441"/>
        </w:trPr>
        <w:tc>
          <w:tcPr>
            <w:tcW w:w="3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71" w:right="1440" w:bottom="1440" w:gutter="0" w:footer="0" w:header="0"/>
        </w:sectPr>
      </w:pPr>
    </w:p>
    <w:bookmarkStart w:id="106" w:name="page107"/>
    <w:bookmarkEnd w:id="106"/>
    <w:p>
      <w:pPr>
        <w:jc w:val="right"/>
        <w:ind w:right="1159"/>
        <w:spacing w:after="0"/>
        <w:rPr>
          <w:sz w:val="20"/>
          <w:szCs w:val="20"/>
          <w:color w:val="auto"/>
        </w:rPr>
      </w:pPr>
      <w:r>
        <w:rPr>
          <w:rFonts w:ascii="Arial" w:cs="Arial" w:eastAsia="Arial" w:hAnsi="Arial"/>
          <w:sz w:val="13"/>
          <w:szCs w:val="13"/>
          <w:b w:val="1"/>
          <w:bCs w:val="1"/>
          <w:color w:val="auto"/>
        </w:rPr>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8" w:lineRule="exact"/>
        <w:rPr>
          <w:sz w:val="20"/>
          <w:szCs w:val="20"/>
          <w:color w:val="auto"/>
        </w:rPr>
      </w:pPr>
    </w:p>
    <w:p>
      <w:pPr>
        <w:ind w:left="1160" w:right="1179"/>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on Form 10-Q of Seaport Therapeutics, Inc. (the “Company”) for the period ended March 31, 2026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860" w:right="1379" w:hanging="357"/>
        <w:spacing w:after="0" w:line="292" w:lineRule="auto"/>
        <w:tabs>
          <w:tab w:leader="none" w:pos="1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26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June 8, 2026</w:t>
            </w:r>
          </w:p>
        </w:tc>
        <w:tc>
          <w:tcPr>
            <w:tcW w:w="162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By:</w:t>
            </w: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/s/ Daphne Zohar</w:t>
            </w:r>
          </w:p>
        </w:tc>
      </w:tr>
      <w:tr>
        <w:trPr>
          <w:trHeight w:val="149"/>
        </w:trPr>
        <w:tc>
          <w:tcPr>
            <w:tcW w:w="3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Daphne Zohar</w:t>
            </w:r>
          </w:p>
        </w:tc>
        <w:tc>
          <w:tcPr>
            <w:tcW w:w="1040" w:type="dxa"/>
            <w:vAlign w:val="bottom"/>
          </w:tcPr>
          <w:p>
            <w:pPr>
              <w:spacing w:after="0"/>
              <w:rPr>
                <w:sz w:val="12"/>
                <w:szCs w:val="12"/>
                <w:color w:val="auto"/>
              </w:rPr>
            </w:pPr>
          </w:p>
        </w:tc>
      </w:tr>
      <w:tr>
        <w:trPr>
          <w:trHeight w:val="172"/>
        </w:trPr>
        <w:tc>
          <w:tcPr>
            <w:tcW w:w="3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6"/>
        </w:trPr>
        <w:tc>
          <w:tcPr>
            <w:tcW w:w="3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1441"/>
        </w:trPr>
        <w:tc>
          <w:tcPr>
            <w:tcW w:w="3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60" w:right="1440" w:bottom="1440" w:gutter="0" w:footer="0" w:header="0"/>
        </w:sectPr>
      </w:pPr>
    </w:p>
    <w:bookmarkStart w:id="107" w:name="page108"/>
    <w:bookmarkEnd w:id="107"/>
    <w:p>
      <w:pPr>
        <w:jc w:val="right"/>
        <w:ind w:right="1159"/>
        <w:spacing w:after="0"/>
        <w:rPr>
          <w:sz w:val="20"/>
          <w:szCs w:val="20"/>
          <w:color w:val="auto"/>
        </w:rPr>
      </w:pPr>
      <w:r>
        <w:rPr>
          <w:rFonts w:ascii="Arial" w:cs="Arial" w:eastAsia="Arial" w:hAnsi="Arial"/>
          <w:sz w:val="13"/>
          <w:szCs w:val="13"/>
          <w:b w:val="1"/>
          <w:bCs w:val="1"/>
          <w:color w:val="auto"/>
        </w:rPr>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8" w:lineRule="exact"/>
        <w:rPr>
          <w:sz w:val="20"/>
          <w:szCs w:val="20"/>
          <w:color w:val="auto"/>
        </w:rPr>
      </w:pPr>
    </w:p>
    <w:p>
      <w:pPr>
        <w:ind w:left="1160" w:right="1179"/>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on Form 10-Q of Seaport Therapeutics, Inc. (the “Company”) for the period ended March 31, 2026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860" w:right="1379" w:hanging="357"/>
        <w:spacing w:after="0" w:line="292" w:lineRule="auto"/>
        <w:tabs>
          <w:tab w:leader="none" w:pos="18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26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June 8, 2026</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By:</w:t>
            </w:r>
          </w:p>
        </w:tc>
        <w:tc>
          <w:tcPr>
            <w:tcW w:w="412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3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Lauren White</w:t>
            </w:r>
          </w:p>
        </w:tc>
        <w:tc>
          <w:tcPr>
            <w:tcW w:w="1040" w:type="dxa"/>
            <w:vAlign w:val="bottom"/>
          </w:tcPr>
          <w:p>
            <w:pPr>
              <w:spacing w:after="0"/>
              <w:rPr>
                <w:sz w:val="12"/>
                <w:szCs w:val="12"/>
                <w:color w:val="auto"/>
              </w:rPr>
            </w:pPr>
          </w:p>
        </w:tc>
      </w:tr>
      <w:tr>
        <w:trPr>
          <w:trHeight w:val="172"/>
        </w:trPr>
        <w:tc>
          <w:tcPr>
            <w:tcW w:w="3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(Principal Financial Officer and Accounting Officer)</w:t>
            </w:r>
          </w:p>
        </w:tc>
      </w:tr>
      <w:tr>
        <w:trPr>
          <w:trHeight w:val="1441"/>
        </w:trPr>
        <w:tc>
          <w:tcPr>
            <w:tcW w:w="3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60" w:right="1440"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8"/>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Letter"/>
      <w:start w:val="3"/>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lvl w:ilvl="1">
      <w:lvlJc w:val="left"/>
      <w:lvlText w:val="%2."/>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4"/>
    </w:lvl>
  </w:abstractNum>
  <w:abstractNum w:abstractNumId="65">
    <w:nsid w:val="6590700B"/>
    <w:multiLevelType w:val="hybridMultilevel"/>
    <w:lvl w:ilvl="0">
      <w:lvlJc w:val="left"/>
      <w:lvlText w:val="%1."/>
      <w:numFmt w:val="decimal"/>
      <w:start w:val="5"/>
    </w:lvl>
    <w:lvl w:ilvl="1">
      <w:lvlJc w:val="left"/>
      <w:lvlText w:val="%2."/>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3"/>
    </w:lvl>
  </w:abstractNum>
  <w:abstractNum w:abstractNumId="69">
    <w:nsid w:val="799D0247"/>
    <w:multiLevelType w:val="hybridMultilevel"/>
    <w:lvl w:ilvl="0">
      <w:lvlJc w:val="left"/>
      <w:lvlText w:val="%1."/>
      <w:numFmt w:val="decimal"/>
      <w:start w:val="5"/>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287" Type="http://schemas.openxmlformats.org/officeDocument/2006/relationships/hyperlink" Target="https://www.sec.gov/Archives/edgar/data/2042347/000119312526204086/d150068dex31.htm" TargetMode="External"/><Relationship Id="rId288" Type="http://schemas.openxmlformats.org/officeDocument/2006/relationships/hyperlink" Target="https://www.sec.gov/Archives/edgar/data/2042347/000119312526204086/d150068dex32.htm" TargetMode="External"/><Relationship Id="rId289" Type="http://schemas.openxmlformats.org/officeDocument/2006/relationships/hyperlink" Target="https://www.sec.gov/Archives/edgar/data/2042347/000119312526151211/d73463dex42.htm" TargetMode="External"/><Relationship Id="rId290" Type="http://schemas.openxmlformats.org/officeDocument/2006/relationships/hyperlink" Target="https://www.sec.gov/Archives/edgar/data/2042347/000119312526151211/d73463dex41.htm" TargetMode="External"/><Relationship Id="rId291" Type="http://schemas.openxmlformats.org/officeDocument/2006/relationships/hyperlink" Target="https://www.sec.gov/Archives/edgar/data/2042347/000119312526178716/d73463dex102.htm" TargetMode="External"/><Relationship Id="rId292" Type="http://schemas.openxmlformats.org/officeDocument/2006/relationships/hyperlink" Target="https://www.sec.gov/Archives/edgar/data/2042347/000119312526178716/d73463dex103.htm" TargetMode="External"/><Relationship Id="rId293" Type="http://schemas.openxmlformats.org/officeDocument/2006/relationships/hyperlink" Target="https://www.sec.gov/Archives/edgar/data/2042347/000119312526151211/d73463dex104.htm" TargetMode="External"/><Relationship Id="rId294" Type="http://schemas.openxmlformats.org/officeDocument/2006/relationships/hyperlink" Target="https://www.sec.gov/Archives/edgar/data/2042347/000119312526151211/d73463dex105.htm" TargetMode="External"/><Relationship Id="rId295" Type="http://schemas.openxmlformats.org/officeDocument/2006/relationships/hyperlink" Target="https://www.sec.gov/Archives/edgar/data/2042347/000119312526151211/d73463dex106.htm" TargetMode="External"/><Relationship Id="rId296" Type="http://schemas.openxmlformats.org/officeDocument/2006/relationships/hyperlink" Target="https://www.sec.gov/Archives/edgar/data/2042347/000119312526151211/d73463dex107.htm" TargetMode="External"/><Relationship Id="rId297" Type="http://schemas.openxmlformats.org/officeDocument/2006/relationships/hyperlink" Target="https://www.sec.gov/Archives/edgar/data/2042347/000119312526151211/d73463dex108.htm" TargetMode="External"/><Relationship Id="rId298" Type="http://schemas.openxmlformats.org/officeDocument/2006/relationships/hyperlink" Target="https://www.sec.gov/Archives/edgar/data/2042347/000119312526151211/d73463dex109.htm" TargetMode="External"/><Relationship Id="rId299" Type="http://schemas.openxmlformats.org/officeDocument/2006/relationships/hyperlink" Target="https://www.sec.gov/Archives/edgar/data/2042347/000119312526151211/d73463dex1014.htm" TargetMode="External"/><Relationship Id="rId300" Type="http://schemas.openxmlformats.org/officeDocument/2006/relationships/hyperlink" Target="https://www.sec.gov/Archives/edgar/data/2042347/000119312526151211/d73463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2026-06-08T06:20:31Z</dcterms:created>
  <dcterms:modified xsi:type="dcterms:W3CDTF">2026-06-08T06:20:31Z</dcterms:modified>
</cp:coreProperties>
</file>